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r w:rsidRPr="009C238A">
        <w:rPr>
          <w:b/>
          <w:noProof/>
          <w:sz w:val="40"/>
          <w:szCs w:val="40"/>
          <w:lang w:val="en-US" w:eastAsia="en-US"/>
        </w:rPr>
        <w:drawing>
          <wp:inline distT="0" distB="0" distL="0" distR="0">
            <wp:extent cx="1066800" cy="70485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srcRect/>
                    <a:stretch>
                      <a:fillRect/>
                    </a:stretch>
                  </pic:blipFill>
                  <pic:spPr bwMode="auto">
                    <a:xfrm>
                      <a:off x="0" y="0"/>
                      <a:ext cx="1066800" cy="704850"/>
                    </a:xfrm>
                    <a:prstGeom prst="rect">
                      <a:avLst/>
                    </a:prstGeom>
                    <a:noFill/>
                    <a:ln w="9525">
                      <a:noFill/>
                      <a:miter lim="800000"/>
                      <a:headEnd/>
                      <a:tailEnd/>
                    </a:ln>
                  </pic:spPr>
                </pic:pic>
              </a:graphicData>
            </a:graphic>
          </wp:inline>
        </w:drawing>
      </w: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r w:rsidRPr="009C238A">
        <w:rPr>
          <w:b/>
          <w:bCs/>
          <w:sz w:val="40"/>
          <w:szCs w:val="40"/>
          <w:lang w:val="en-US"/>
        </w:rPr>
        <w:t>INTERIM REPORT ON OPERATIONS OF THE DIASORIN GROUP AT SEPTEMBER 30, 2013</w:t>
      </w:r>
    </w:p>
    <w:p w:rsidR="009072DB" w:rsidRPr="009C238A" w:rsidRDefault="009072DB" w:rsidP="009072DB">
      <w:pPr>
        <w:jc w:val="center"/>
        <w:rPr>
          <w:b/>
          <w:bCs/>
          <w:sz w:val="40"/>
          <w:szCs w:val="40"/>
          <w:lang w:val="en-US"/>
        </w:rPr>
      </w:pPr>
      <w:r w:rsidRPr="009C238A">
        <w:rPr>
          <w:b/>
          <w:bCs/>
          <w:sz w:val="40"/>
          <w:szCs w:val="40"/>
          <w:lang w:val="en-US"/>
        </w:rPr>
        <w:t>Third quarter 2013</w:t>
      </w: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
          <w:bCs/>
          <w:i/>
          <w:sz w:val="40"/>
          <w:szCs w:val="40"/>
          <w:lang w:val="en-US"/>
        </w:rPr>
      </w:pPr>
    </w:p>
    <w:p w:rsidR="009072DB" w:rsidRPr="009C238A" w:rsidRDefault="009072DB" w:rsidP="009072DB">
      <w:pPr>
        <w:jc w:val="center"/>
        <w:rPr>
          <w:b/>
          <w:bCs/>
          <w:sz w:val="40"/>
          <w:szCs w:val="40"/>
          <w:lang w:val="en-US"/>
        </w:rPr>
      </w:pPr>
    </w:p>
    <w:p w:rsidR="009072DB" w:rsidRPr="009C238A" w:rsidRDefault="009072DB" w:rsidP="009072DB">
      <w:pPr>
        <w:jc w:val="center"/>
        <w:rPr>
          <w:bCs/>
          <w:sz w:val="28"/>
          <w:szCs w:val="28"/>
          <w:lang w:val="en-US"/>
        </w:rPr>
      </w:pPr>
      <w:r w:rsidRPr="009C238A">
        <w:rPr>
          <w:bCs/>
          <w:sz w:val="28"/>
          <w:szCs w:val="28"/>
          <w:lang w:val="en-US"/>
        </w:rPr>
        <w:t>DiaSorin S.p.A.</w:t>
      </w:r>
    </w:p>
    <w:p w:rsidR="009072DB" w:rsidRPr="000F56BB" w:rsidRDefault="009072DB" w:rsidP="009072DB">
      <w:pPr>
        <w:jc w:val="center"/>
        <w:rPr>
          <w:bCs/>
          <w:sz w:val="28"/>
          <w:szCs w:val="28"/>
        </w:rPr>
      </w:pPr>
      <w:r w:rsidRPr="000F56BB">
        <w:rPr>
          <w:bCs/>
          <w:sz w:val="28"/>
          <w:szCs w:val="28"/>
        </w:rPr>
        <w:t>Via Crescentino (no building No.) - 13040 Saluggia (VC)</w:t>
      </w:r>
    </w:p>
    <w:p w:rsidR="009072DB" w:rsidRPr="009C238A" w:rsidRDefault="009072DB" w:rsidP="009072DB">
      <w:pPr>
        <w:widowControl w:val="0"/>
        <w:autoSpaceDE w:val="0"/>
        <w:autoSpaceDN w:val="0"/>
        <w:adjustRightInd w:val="0"/>
        <w:jc w:val="center"/>
        <w:rPr>
          <w:bCs/>
          <w:sz w:val="28"/>
          <w:szCs w:val="28"/>
          <w:lang w:val="en-US"/>
        </w:rPr>
      </w:pPr>
      <w:r w:rsidRPr="009C238A">
        <w:rPr>
          <w:bCs/>
          <w:sz w:val="28"/>
          <w:szCs w:val="28"/>
          <w:lang w:val="en-US"/>
        </w:rPr>
        <w:t>Tax I. D. and Vercelli Company Register n. 13144290155</w:t>
      </w:r>
    </w:p>
    <w:p w:rsidR="009072DB" w:rsidRPr="009C238A" w:rsidRDefault="009072DB" w:rsidP="009072DB">
      <w:pPr>
        <w:jc w:val="center"/>
        <w:rPr>
          <w:b/>
          <w:bCs/>
          <w:caps/>
          <w:sz w:val="28"/>
          <w:szCs w:val="28"/>
          <w:lang w:val="en-US"/>
        </w:rPr>
      </w:pPr>
      <w:r w:rsidRPr="009C238A">
        <w:rPr>
          <w:sz w:val="40"/>
          <w:szCs w:val="40"/>
          <w:lang w:val="en-US"/>
        </w:rPr>
        <w:br w:type="page"/>
      </w:r>
      <w:bookmarkStart w:id="0" w:name="_Toc237244744"/>
      <w:bookmarkStart w:id="1" w:name="_Toc285210137"/>
      <w:bookmarkStart w:id="2" w:name="_Toc287975626"/>
      <w:r w:rsidRPr="009C238A">
        <w:rPr>
          <w:b/>
          <w:bCs/>
          <w:caps/>
          <w:sz w:val="28"/>
          <w:szCs w:val="28"/>
          <w:lang w:val="en-US"/>
        </w:rPr>
        <w:lastRenderedPageBreak/>
        <w:t>contents</w:t>
      </w:r>
    </w:p>
    <w:p w:rsidR="009072DB" w:rsidRPr="009C238A" w:rsidRDefault="009072DB" w:rsidP="009072DB">
      <w:pPr>
        <w:jc w:val="center"/>
        <w:rPr>
          <w:bCs/>
          <w:smallCaps/>
          <w:sz w:val="40"/>
          <w:szCs w:val="40"/>
          <w:lang w:val="en-US"/>
        </w:rPr>
      </w:pPr>
    </w:p>
    <w:p w:rsidR="0079373A" w:rsidRPr="000F56BB" w:rsidRDefault="00E3619E">
      <w:pPr>
        <w:pStyle w:val="Sommario1"/>
        <w:rPr>
          <w:rFonts w:asciiTheme="minorHAnsi" w:eastAsiaTheme="minorEastAsia" w:hAnsiTheme="minorHAnsi" w:cstheme="minorBidi"/>
          <w:b w:val="0"/>
          <w:sz w:val="18"/>
          <w:szCs w:val="18"/>
          <w:lang w:val="en-US" w:eastAsia="ja-JP"/>
        </w:rPr>
      </w:pPr>
      <w:r w:rsidRPr="00E3619E">
        <w:rPr>
          <w:b w:val="0"/>
          <w:bCs/>
          <w:smallCaps/>
          <w:sz w:val="18"/>
          <w:szCs w:val="18"/>
          <w:highlight w:val="yellow"/>
          <w:lang w:val="en-US"/>
        </w:rPr>
        <w:fldChar w:fldCharType="begin"/>
      </w:r>
      <w:r w:rsidR="009072DB" w:rsidRPr="003C6221">
        <w:rPr>
          <w:b w:val="0"/>
          <w:smallCaps/>
          <w:sz w:val="18"/>
          <w:szCs w:val="18"/>
          <w:highlight w:val="yellow"/>
          <w:lang w:val="en-US"/>
        </w:rPr>
        <w:instrText xml:space="preserve"> TOC \o "1-2" \h \z \u </w:instrText>
      </w:r>
      <w:r w:rsidRPr="00E3619E">
        <w:rPr>
          <w:b w:val="0"/>
          <w:bCs/>
          <w:smallCaps/>
          <w:sz w:val="18"/>
          <w:szCs w:val="18"/>
          <w:highlight w:val="yellow"/>
          <w:lang w:val="en-US"/>
        </w:rPr>
        <w:fldChar w:fldCharType="separate"/>
      </w:r>
      <w:r w:rsidR="0079373A" w:rsidRPr="000F56BB">
        <w:rPr>
          <w:sz w:val="18"/>
          <w:szCs w:val="18"/>
          <w:lang w:val="en-US"/>
        </w:rPr>
        <w:t>BOARD OF DIRECTORS, BOARD OF STATUTORY AUDITORS AND INDEPENDENT AUDITORS</w:t>
      </w:r>
      <w:r w:rsidR="0079373A" w:rsidRPr="000F56BB">
        <w:rPr>
          <w:sz w:val="18"/>
          <w:szCs w:val="18"/>
          <w:lang w:val="en-US"/>
        </w:rPr>
        <w:tab/>
      </w:r>
      <w:r w:rsidRPr="003C6221">
        <w:rPr>
          <w:sz w:val="18"/>
          <w:szCs w:val="18"/>
        </w:rPr>
        <w:fldChar w:fldCharType="begin"/>
      </w:r>
      <w:r w:rsidR="0079373A" w:rsidRPr="000F56BB">
        <w:rPr>
          <w:sz w:val="18"/>
          <w:szCs w:val="18"/>
          <w:lang w:val="en-US"/>
        </w:rPr>
        <w:instrText xml:space="preserve"> PAGEREF _Toc245837740 \h </w:instrText>
      </w:r>
      <w:r w:rsidRPr="003C6221">
        <w:rPr>
          <w:sz w:val="18"/>
          <w:szCs w:val="18"/>
        </w:rPr>
      </w:r>
      <w:r w:rsidRPr="003C6221">
        <w:rPr>
          <w:sz w:val="18"/>
          <w:szCs w:val="18"/>
        </w:rPr>
        <w:fldChar w:fldCharType="separate"/>
      </w:r>
      <w:r w:rsidR="00657FAD">
        <w:rPr>
          <w:sz w:val="18"/>
          <w:szCs w:val="18"/>
          <w:lang w:val="en-US"/>
        </w:rPr>
        <w:t>3</w:t>
      </w:r>
      <w:r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THE DIASORIN GROUP</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_Toc245837741 \h </w:instrText>
      </w:r>
      <w:r w:rsidR="00E3619E" w:rsidRPr="003C6221">
        <w:rPr>
          <w:sz w:val="18"/>
          <w:szCs w:val="18"/>
        </w:rPr>
      </w:r>
      <w:r w:rsidR="00E3619E" w:rsidRPr="003C6221">
        <w:rPr>
          <w:sz w:val="18"/>
          <w:szCs w:val="18"/>
        </w:rPr>
        <w:fldChar w:fldCharType="separate"/>
      </w:r>
      <w:r w:rsidR="00657FAD">
        <w:rPr>
          <w:sz w:val="18"/>
          <w:szCs w:val="18"/>
          <w:lang w:val="en-US"/>
        </w:rPr>
        <w:t>4</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STRUCTURE OF THE DIASORIN GROUP AT SEPTEMBER 30, 2013</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_Toc245837742 \h </w:instrText>
      </w:r>
      <w:r w:rsidR="00E3619E" w:rsidRPr="003C6221">
        <w:rPr>
          <w:sz w:val="18"/>
          <w:szCs w:val="18"/>
        </w:rPr>
      </w:r>
      <w:r w:rsidR="00E3619E" w:rsidRPr="003C6221">
        <w:rPr>
          <w:sz w:val="18"/>
          <w:szCs w:val="18"/>
        </w:rPr>
        <w:fldChar w:fldCharType="separate"/>
      </w:r>
      <w:r w:rsidR="00657FAD">
        <w:rPr>
          <w:sz w:val="18"/>
          <w:szCs w:val="18"/>
          <w:lang w:val="en-US"/>
        </w:rPr>
        <w:t>6</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CONSOLIDATED FINANCIAL HIGHLIGHTS</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_Toc245837743 \h </w:instrText>
      </w:r>
      <w:r w:rsidR="00E3619E" w:rsidRPr="003C6221">
        <w:rPr>
          <w:sz w:val="18"/>
          <w:szCs w:val="18"/>
        </w:rPr>
      </w:r>
      <w:r w:rsidR="00E3619E" w:rsidRPr="003C6221">
        <w:rPr>
          <w:sz w:val="18"/>
          <w:szCs w:val="18"/>
        </w:rPr>
        <w:fldChar w:fldCharType="separate"/>
      </w:r>
      <w:r w:rsidR="00657FAD">
        <w:rPr>
          <w:sz w:val="18"/>
          <w:szCs w:val="18"/>
          <w:lang w:val="en-US"/>
        </w:rPr>
        <w:t>7</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INTERIM REPORT ON OPERATIONS</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_Toc245837744 \h </w:instrText>
      </w:r>
      <w:r w:rsidR="00E3619E" w:rsidRPr="003C6221">
        <w:rPr>
          <w:sz w:val="18"/>
          <w:szCs w:val="18"/>
        </w:rPr>
      </w:r>
      <w:r w:rsidR="00E3619E" w:rsidRPr="003C6221">
        <w:rPr>
          <w:sz w:val="18"/>
          <w:szCs w:val="18"/>
        </w:rPr>
        <w:fldChar w:fldCharType="separate"/>
      </w:r>
      <w:r w:rsidR="00657FAD">
        <w:rPr>
          <w:sz w:val="18"/>
          <w:szCs w:val="18"/>
          <w:lang w:val="en-US"/>
        </w:rPr>
        <w:t>8</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REVIEW OF THE GROUP’S OPERATING PERFORMANCE AND FINANCIAL POSITION</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_Toc245837745 \h </w:instrText>
      </w:r>
      <w:r w:rsidR="00E3619E" w:rsidRPr="003C6221">
        <w:rPr>
          <w:sz w:val="18"/>
          <w:szCs w:val="18"/>
        </w:rPr>
      </w:r>
      <w:r w:rsidR="00E3619E" w:rsidRPr="003C6221">
        <w:rPr>
          <w:sz w:val="18"/>
          <w:szCs w:val="18"/>
        </w:rPr>
        <w:fldChar w:fldCharType="separate"/>
      </w:r>
      <w:r w:rsidR="00657FAD">
        <w:rPr>
          <w:sz w:val="18"/>
          <w:szCs w:val="18"/>
          <w:lang w:val="en-US"/>
        </w:rPr>
        <w:t>10</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sz w:val="18"/>
          <w:szCs w:val="18"/>
          <w:lang w:val="en-US"/>
        </w:rPr>
        <w:t>OPERATING PERFORMANCE IN THE THIRD QUARTER OF  2013</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_Toc245837746 \h </w:instrText>
      </w:r>
      <w:r w:rsidR="00E3619E" w:rsidRPr="003C6221">
        <w:rPr>
          <w:sz w:val="18"/>
          <w:szCs w:val="18"/>
        </w:rPr>
      </w:r>
      <w:r w:rsidR="00E3619E" w:rsidRPr="003C6221">
        <w:rPr>
          <w:sz w:val="18"/>
          <w:szCs w:val="18"/>
        </w:rPr>
        <w:fldChar w:fldCharType="separate"/>
      </w:r>
      <w:r w:rsidR="00657FAD">
        <w:rPr>
          <w:sz w:val="18"/>
          <w:szCs w:val="18"/>
          <w:lang w:val="en-US"/>
        </w:rPr>
        <w:t>10</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sz w:val="18"/>
          <w:szCs w:val="18"/>
          <w:lang w:val="en-US"/>
        </w:rPr>
        <w:t>OPERATING PERFORMANCE IN THE FIRST NINE MONTHS OF 2013</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_Toc245837747 \h </w:instrText>
      </w:r>
      <w:r w:rsidR="00E3619E" w:rsidRPr="003C6221">
        <w:rPr>
          <w:sz w:val="18"/>
          <w:szCs w:val="18"/>
        </w:rPr>
      </w:r>
      <w:r w:rsidR="00E3619E" w:rsidRPr="003C6221">
        <w:rPr>
          <w:sz w:val="18"/>
          <w:szCs w:val="18"/>
        </w:rPr>
        <w:fldChar w:fldCharType="separate"/>
      </w:r>
      <w:r w:rsidR="00657FAD">
        <w:rPr>
          <w:sz w:val="18"/>
          <w:szCs w:val="18"/>
          <w:lang w:val="en-US"/>
        </w:rPr>
        <w:t>18</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sz w:val="18"/>
          <w:szCs w:val="18"/>
          <w:lang w:val="en-US"/>
        </w:rPr>
        <w:t>STATEMENT OF FINANCIAL POSITION OF THE GROUP AT SEPTEMBER 30, 2013</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_Toc245837748 \h </w:instrText>
      </w:r>
      <w:r w:rsidR="00E3619E" w:rsidRPr="003C6221">
        <w:rPr>
          <w:sz w:val="18"/>
          <w:szCs w:val="18"/>
        </w:rPr>
      </w:r>
      <w:r w:rsidR="00E3619E" w:rsidRPr="003C6221">
        <w:rPr>
          <w:sz w:val="18"/>
          <w:szCs w:val="18"/>
        </w:rPr>
        <w:fldChar w:fldCharType="separate"/>
      </w:r>
      <w:r w:rsidR="00657FAD">
        <w:rPr>
          <w:sz w:val="18"/>
          <w:szCs w:val="18"/>
          <w:lang w:val="en-US"/>
        </w:rPr>
        <w:t>27</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sz w:val="18"/>
          <w:szCs w:val="18"/>
          <w:lang w:val="en-US"/>
        </w:rPr>
        <w:t>ANALYSIS OF CONSOLIDATED CASH FLOWS</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_Toc245837749 \h </w:instrText>
      </w:r>
      <w:r w:rsidR="00E3619E" w:rsidRPr="003C6221">
        <w:rPr>
          <w:sz w:val="18"/>
          <w:szCs w:val="18"/>
        </w:rPr>
      </w:r>
      <w:r w:rsidR="00E3619E" w:rsidRPr="003C6221">
        <w:rPr>
          <w:sz w:val="18"/>
          <w:szCs w:val="18"/>
        </w:rPr>
        <w:fldChar w:fldCharType="separate"/>
      </w:r>
      <w:r w:rsidR="00657FAD">
        <w:rPr>
          <w:sz w:val="18"/>
          <w:szCs w:val="18"/>
          <w:lang w:val="en-US"/>
        </w:rPr>
        <w:t>29</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smallCaps/>
          <w:sz w:val="18"/>
          <w:szCs w:val="18"/>
          <w:lang w:val="en-US"/>
        </w:rPr>
        <w:t>OTHER INFORMATION</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_Toc245837750 \h </w:instrText>
      </w:r>
      <w:r w:rsidR="00E3619E" w:rsidRPr="003C6221">
        <w:rPr>
          <w:sz w:val="18"/>
          <w:szCs w:val="18"/>
        </w:rPr>
      </w:r>
      <w:r w:rsidR="00E3619E" w:rsidRPr="003C6221">
        <w:rPr>
          <w:sz w:val="18"/>
          <w:szCs w:val="18"/>
        </w:rPr>
        <w:fldChar w:fldCharType="separate"/>
      </w:r>
      <w:r w:rsidR="00657FAD">
        <w:rPr>
          <w:sz w:val="18"/>
          <w:szCs w:val="18"/>
          <w:lang w:val="en-US"/>
        </w:rPr>
        <w:t>30</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TRANSACTIONS WITH RELATED PARTIES</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_Toc245837751 \h </w:instrText>
      </w:r>
      <w:r w:rsidR="00E3619E" w:rsidRPr="003C6221">
        <w:rPr>
          <w:sz w:val="18"/>
          <w:szCs w:val="18"/>
        </w:rPr>
      </w:r>
      <w:r w:rsidR="00E3619E" w:rsidRPr="003C6221">
        <w:rPr>
          <w:sz w:val="18"/>
          <w:szCs w:val="18"/>
        </w:rPr>
        <w:fldChar w:fldCharType="separate"/>
      </w:r>
      <w:r w:rsidR="00657FAD">
        <w:rPr>
          <w:sz w:val="18"/>
          <w:szCs w:val="18"/>
          <w:lang w:val="en-US"/>
        </w:rPr>
        <w:t>31</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SIGNIFICANT EVENTS OCCURRING AFTER NOVEMBER 30, 2013 AND BUSINESS OUTLOOK</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_Toc245837752 \h </w:instrText>
      </w:r>
      <w:r w:rsidR="00E3619E" w:rsidRPr="003C6221">
        <w:rPr>
          <w:sz w:val="18"/>
          <w:szCs w:val="18"/>
        </w:rPr>
      </w:r>
      <w:r w:rsidR="00E3619E" w:rsidRPr="003C6221">
        <w:rPr>
          <w:sz w:val="18"/>
          <w:szCs w:val="18"/>
        </w:rPr>
        <w:fldChar w:fldCharType="separate"/>
      </w:r>
      <w:r w:rsidR="00657FAD">
        <w:rPr>
          <w:sz w:val="18"/>
          <w:szCs w:val="18"/>
          <w:lang w:val="en-US"/>
        </w:rPr>
        <w:t>32</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CONSOLIDATED FINANCIAL STATEMENTS OF THE DIASORIN GROUP AT SEPTEMBER 30, 2013 AND ACCOMPANYING NOTES</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_Toc245837753 \h </w:instrText>
      </w:r>
      <w:r w:rsidR="00E3619E" w:rsidRPr="003C6221">
        <w:rPr>
          <w:sz w:val="18"/>
          <w:szCs w:val="18"/>
        </w:rPr>
      </w:r>
      <w:r w:rsidR="00E3619E" w:rsidRPr="003C6221">
        <w:rPr>
          <w:sz w:val="18"/>
          <w:szCs w:val="18"/>
        </w:rPr>
        <w:fldChar w:fldCharType="separate"/>
      </w:r>
      <w:r w:rsidR="00657FAD">
        <w:rPr>
          <w:sz w:val="18"/>
          <w:szCs w:val="18"/>
          <w:lang w:val="en-US"/>
        </w:rPr>
        <w:t>33</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b/>
          <w:sz w:val="18"/>
          <w:szCs w:val="18"/>
          <w:lang w:val="en-US"/>
        </w:rPr>
        <w:t>CONSOLIDATED INCOME STATEMENT</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_Toc245837754 \h </w:instrText>
      </w:r>
      <w:r w:rsidR="00E3619E" w:rsidRPr="003C6221">
        <w:rPr>
          <w:sz w:val="18"/>
          <w:szCs w:val="18"/>
        </w:rPr>
      </w:r>
      <w:r w:rsidR="00E3619E" w:rsidRPr="003C6221">
        <w:rPr>
          <w:sz w:val="18"/>
          <w:szCs w:val="18"/>
        </w:rPr>
        <w:fldChar w:fldCharType="separate"/>
      </w:r>
      <w:r w:rsidR="00657FAD">
        <w:rPr>
          <w:sz w:val="18"/>
          <w:szCs w:val="18"/>
          <w:lang w:val="en-US"/>
        </w:rPr>
        <w:t>33</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b/>
          <w:sz w:val="18"/>
          <w:szCs w:val="18"/>
          <w:lang w:val="en-US"/>
        </w:rPr>
        <w:t>CONSOLIDATED STATEMENT OF COMPREHENSIVE INCOME</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_Toc245837755 \h </w:instrText>
      </w:r>
      <w:r w:rsidR="00E3619E" w:rsidRPr="003C6221">
        <w:rPr>
          <w:sz w:val="18"/>
          <w:szCs w:val="18"/>
        </w:rPr>
      </w:r>
      <w:r w:rsidR="00E3619E" w:rsidRPr="003C6221">
        <w:rPr>
          <w:sz w:val="18"/>
          <w:szCs w:val="18"/>
        </w:rPr>
        <w:fldChar w:fldCharType="separate"/>
      </w:r>
      <w:r w:rsidR="00657FAD">
        <w:rPr>
          <w:sz w:val="18"/>
          <w:szCs w:val="18"/>
          <w:lang w:val="en-US"/>
        </w:rPr>
        <w:t>34</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b/>
          <w:sz w:val="18"/>
          <w:szCs w:val="18"/>
          <w:lang w:val="en-US"/>
        </w:rPr>
        <w:t>CONSOLIDATED STATEMENT OF FINANCIAL POSITION</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_Toc245837756 \h </w:instrText>
      </w:r>
      <w:r w:rsidR="00E3619E" w:rsidRPr="003C6221">
        <w:rPr>
          <w:sz w:val="18"/>
          <w:szCs w:val="18"/>
        </w:rPr>
      </w:r>
      <w:r w:rsidR="00E3619E" w:rsidRPr="003C6221">
        <w:rPr>
          <w:sz w:val="18"/>
          <w:szCs w:val="18"/>
        </w:rPr>
        <w:fldChar w:fldCharType="separate"/>
      </w:r>
      <w:r w:rsidR="00657FAD">
        <w:rPr>
          <w:sz w:val="18"/>
          <w:szCs w:val="18"/>
          <w:lang w:val="en-US"/>
        </w:rPr>
        <w:t>35</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b/>
          <w:sz w:val="18"/>
          <w:szCs w:val="18"/>
          <w:lang w:val="en-US"/>
        </w:rPr>
        <w:t>CONSOLIDATED STATEMENT OF CASH FLOWS</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_Toc245837757 \h </w:instrText>
      </w:r>
      <w:r w:rsidR="00E3619E" w:rsidRPr="003C6221">
        <w:rPr>
          <w:sz w:val="18"/>
          <w:szCs w:val="18"/>
        </w:rPr>
      </w:r>
      <w:r w:rsidR="00E3619E" w:rsidRPr="003C6221">
        <w:rPr>
          <w:sz w:val="18"/>
          <w:szCs w:val="18"/>
        </w:rPr>
        <w:fldChar w:fldCharType="separate"/>
      </w:r>
      <w:r w:rsidR="00657FAD">
        <w:rPr>
          <w:sz w:val="18"/>
          <w:szCs w:val="18"/>
          <w:lang w:val="en-US"/>
        </w:rPr>
        <w:t>37</w:t>
      </w:r>
      <w:r w:rsidR="00E3619E" w:rsidRPr="003C6221">
        <w:rPr>
          <w:sz w:val="18"/>
          <w:szCs w:val="18"/>
        </w:rPr>
        <w:fldChar w:fldCharType="end"/>
      </w:r>
    </w:p>
    <w:p w:rsidR="0079373A" w:rsidRPr="000F56BB" w:rsidRDefault="0079373A">
      <w:pPr>
        <w:pStyle w:val="Sommario2"/>
        <w:rPr>
          <w:rFonts w:asciiTheme="minorHAnsi" w:eastAsiaTheme="minorEastAsia" w:hAnsiTheme="minorHAnsi" w:cstheme="minorBidi"/>
          <w:bCs w:val="0"/>
          <w:caps w:val="0"/>
          <w:sz w:val="18"/>
          <w:szCs w:val="18"/>
          <w:lang w:val="en-US" w:eastAsia="ja-JP"/>
        </w:rPr>
      </w:pPr>
      <w:r w:rsidRPr="000F56BB">
        <w:rPr>
          <w:b/>
          <w:sz w:val="18"/>
          <w:szCs w:val="18"/>
          <w:lang w:val="en-US"/>
        </w:rPr>
        <w:t>STATEMENT OF CHANGES IN CONSOLIDATED SHAREHOLDERS’ EQUITY</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_Toc245837758 \h </w:instrText>
      </w:r>
      <w:r w:rsidR="00E3619E" w:rsidRPr="003C6221">
        <w:rPr>
          <w:sz w:val="18"/>
          <w:szCs w:val="18"/>
        </w:rPr>
      </w:r>
      <w:r w:rsidR="00E3619E" w:rsidRPr="003C6221">
        <w:rPr>
          <w:sz w:val="18"/>
          <w:szCs w:val="18"/>
        </w:rPr>
        <w:fldChar w:fldCharType="separate"/>
      </w:r>
      <w:r w:rsidR="00657FAD">
        <w:rPr>
          <w:sz w:val="18"/>
          <w:szCs w:val="18"/>
          <w:lang w:val="en-US"/>
        </w:rPr>
        <w:t>38</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NOTES TO THE CONSOLIDATED QUARTERLY REPORT AT SEPTEMBER 30, 2013 AND SEPTEMBER 30, 2012</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_Toc245837759 \h </w:instrText>
      </w:r>
      <w:r w:rsidR="00E3619E" w:rsidRPr="003C6221">
        <w:rPr>
          <w:sz w:val="18"/>
          <w:szCs w:val="18"/>
        </w:rPr>
      </w:r>
      <w:r w:rsidR="00E3619E" w:rsidRPr="003C6221">
        <w:rPr>
          <w:sz w:val="18"/>
          <w:szCs w:val="18"/>
        </w:rPr>
        <w:fldChar w:fldCharType="separate"/>
      </w:r>
      <w:r w:rsidR="00657FAD">
        <w:rPr>
          <w:sz w:val="18"/>
          <w:szCs w:val="18"/>
          <w:lang w:val="en-US"/>
        </w:rPr>
        <w:t>39</w:t>
      </w:r>
      <w:r w:rsidR="00E3619E" w:rsidRPr="003C6221">
        <w:rPr>
          <w:sz w:val="18"/>
          <w:szCs w:val="18"/>
        </w:rPr>
        <w:fldChar w:fldCharType="end"/>
      </w:r>
    </w:p>
    <w:p w:rsidR="0079373A" w:rsidRPr="000F56BB" w:rsidRDefault="0079373A">
      <w:pPr>
        <w:pStyle w:val="Sommario1"/>
        <w:rPr>
          <w:rFonts w:asciiTheme="minorHAnsi" w:eastAsiaTheme="minorEastAsia" w:hAnsiTheme="minorHAnsi" w:cstheme="minorBidi"/>
          <w:b w:val="0"/>
          <w:sz w:val="18"/>
          <w:szCs w:val="18"/>
          <w:lang w:val="en-US" w:eastAsia="ja-JP"/>
        </w:rPr>
      </w:pPr>
      <w:r w:rsidRPr="000F56BB">
        <w:rPr>
          <w:sz w:val="18"/>
          <w:szCs w:val="18"/>
          <w:lang w:val="en-US"/>
        </w:rPr>
        <w:t>DECLARATION IN ACCORDANCE WITH THE SECOND SUBSECTION OF ART. 154-</w:t>
      </w:r>
      <w:r w:rsidRPr="000F56BB">
        <w:rPr>
          <w:i/>
          <w:iCs/>
          <w:sz w:val="18"/>
          <w:szCs w:val="18"/>
          <w:lang w:val="en-US"/>
        </w:rPr>
        <w:t>BIS</w:t>
      </w:r>
      <w:r w:rsidRPr="000F56BB">
        <w:rPr>
          <w:sz w:val="18"/>
          <w:szCs w:val="18"/>
          <w:lang w:val="en-US"/>
        </w:rPr>
        <w:t>, PART IV, TITLE III, SECOND PARAGRAPH, SECTION V-</w:t>
      </w:r>
      <w:r w:rsidRPr="000F56BB">
        <w:rPr>
          <w:i/>
          <w:iCs/>
          <w:sz w:val="18"/>
          <w:szCs w:val="18"/>
          <w:lang w:val="en-US"/>
        </w:rPr>
        <w:t>BIS</w:t>
      </w:r>
      <w:r w:rsidRPr="000F56BB">
        <w:rPr>
          <w:sz w:val="18"/>
          <w:szCs w:val="18"/>
          <w:lang w:val="en-US"/>
        </w:rPr>
        <w:t>, OF LEGISLATIVE DECREE NO. 58 OF FEBRUARY 24, 1998: “UNIFORM LAW ON FINANCIAL INTERMEDIATION ENACTED PURSUANT TO ARTICLES 8 AND 21 OF LAW NO. 52 OF FEBRUARY 6, 1996”</w:t>
      </w:r>
      <w:r w:rsidRPr="000F56BB">
        <w:rPr>
          <w:sz w:val="18"/>
          <w:szCs w:val="18"/>
          <w:lang w:val="en-US"/>
        </w:rPr>
        <w:tab/>
      </w:r>
      <w:r w:rsidR="00E3619E" w:rsidRPr="003C6221">
        <w:rPr>
          <w:sz w:val="18"/>
          <w:szCs w:val="18"/>
        </w:rPr>
        <w:fldChar w:fldCharType="begin"/>
      </w:r>
      <w:r w:rsidRPr="000F56BB">
        <w:rPr>
          <w:sz w:val="18"/>
          <w:szCs w:val="18"/>
          <w:lang w:val="en-US"/>
        </w:rPr>
        <w:instrText xml:space="preserve"> PAGEREF _Toc245837760 \h </w:instrText>
      </w:r>
      <w:r w:rsidR="00E3619E" w:rsidRPr="003C6221">
        <w:rPr>
          <w:sz w:val="18"/>
          <w:szCs w:val="18"/>
        </w:rPr>
      </w:r>
      <w:r w:rsidR="00E3619E" w:rsidRPr="003C6221">
        <w:rPr>
          <w:sz w:val="18"/>
          <w:szCs w:val="18"/>
        </w:rPr>
        <w:fldChar w:fldCharType="separate"/>
      </w:r>
      <w:r w:rsidR="00657FAD">
        <w:rPr>
          <w:sz w:val="18"/>
          <w:szCs w:val="18"/>
          <w:lang w:val="en-US"/>
        </w:rPr>
        <w:t>64</w:t>
      </w:r>
      <w:r w:rsidR="00E3619E" w:rsidRPr="003C6221">
        <w:rPr>
          <w:sz w:val="18"/>
          <w:szCs w:val="18"/>
        </w:rPr>
        <w:fldChar w:fldCharType="end"/>
      </w:r>
    </w:p>
    <w:p w:rsidR="009072DB" w:rsidRPr="003C6221" w:rsidRDefault="00E3619E" w:rsidP="009072DB">
      <w:pPr>
        <w:spacing w:line="360" w:lineRule="auto"/>
        <w:rPr>
          <w:smallCaps/>
          <w:sz w:val="16"/>
          <w:szCs w:val="16"/>
          <w:lang w:val="en-US"/>
        </w:rPr>
      </w:pPr>
      <w:r w:rsidRPr="003C6221">
        <w:rPr>
          <w:smallCaps/>
          <w:sz w:val="18"/>
          <w:szCs w:val="18"/>
          <w:highlight w:val="yellow"/>
          <w:lang w:val="en-US"/>
        </w:rPr>
        <w:fldChar w:fldCharType="end"/>
      </w:r>
    </w:p>
    <w:p w:rsidR="009072DB" w:rsidRPr="003C6221" w:rsidRDefault="009072DB" w:rsidP="009072DB">
      <w:pPr>
        <w:pStyle w:val="Titolo1"/>
        <w:tabs>
          <w:tab w:val="clear" w:pos="432"/>
          <w:tab w:val="num" w:pos="284"/>
        </w:tabs>
        <w:rPr>
          <w:sz w:val="16"/>
          <w:szCs w:val="16"/>
        </w:rPr>
      </w:pPr>
      <w:bookmarkStart w:id="3" w:name="_Toc299724434"/>
      <w:bookmarkEnd w:id="0"/>
      <w:bookmarkEnd w:id="1"/>
      <w:bookmarkEnd w:id="2"/>
    </w:p>
    <w:p w:rsidR="009072DB" w:rsidRPr="003C6221" w:rsidRDefault="009072DB" w:rsidP="009072DB">
      <w:pPr>
        <w:pStyle w:val="Titolo1"/>
        <w:tabs>
          <w:tab w:val="clear" w:pos="432"/>
          <w:tab w:val="num" w:pos="284"/>
        </w:tabs>
        <w:rPr>
          <w:sz w:val="16"/>
          <w:szCs w:val="16"/>
        </w:rPr>
      </w:pPr>
    </w:p>
    <w:p w:rsidR="001570D4" w:rsidRPr="000F56BB" w:rsidRDefault="001570D4" w:rsidP="001570D4">
      <w:pPr>
        <w:rPr>
          <w:sz w:val="16"/>
          <w:szCs w:val="16"/>
          <w:lang w:val="en-US"/>
        </w:rPr>
      </w:pPr>
    </w:p>
    <w:p w:rsidR="001570D4" w:rsidRPr="000F56BB" w:rsidRDefault="001570D4" w:rsidP="001570D4">
      <w:pPr>
        <w:rPr>
          <w:sz w:val="16"/>
          <w:szCs w:val="16"/>
          <w:lang w:val="en-US"/>
        </w:rPr>
      </w:pPr>
    </w:p>
    <w:p w:rsidR="001570D4" w:rsidRPr="000F56BB" w:rsidRDefault="001570D4" w:rsidP="001570D4">
      <w:pPr>
        <w:rPr>
          <w:lang w:val="en-US"/>
        </w:rPr>
      </w:pPr>
    </w:p>
    <w:p w:rsidR="001570D4" w:rsidRPr="000F56BB" w:rsidRDefault="001570D4" w:rsidP="001570D4">
      <w:pPr>
        <w:rPr>
          <w:lang w:val="en-US"/>
        </w:rPr>
      </w:pPr>
    </w:p>
    <w:p w:rsidR="001570D4" w:rsidRPr="000F56BB" w:rsidRDefault="001570D4" w:rsidP="001570D4">
      <w:pPr>
        <w:rPr>
          <w:lang w:val="en-US"/>
        </w:rPr>
      </w:pPr>
    </w:p>
    <w:p w:rsidR="001570D4" w:rsidRPr="000F56BB" w:rsidRDefault="001570D4" w:rsidP="001570D4">
      <w:pPr>
        <w:rPr>
          <w:lang w:val="en-US"/>
        </w:rPr>
      </w:pPr>
    </w:p>
    <w:p w:rsidR="001570D4" w:rsidRPr="000F56BB" w:rsidRDefault="001570D4" w:rsidP="001570D4">
      <w:pPr>
        <w:rPr>
          <w:lang w:val="en-US"/>
        </w:rPr>
      </w:pPr>
    </w:p>
    <w:p w:rsidR="001570D4" w:rsidRPr="000F56BB" w:rsidRDefault="001570D4" w:rsidP="001570D4">
      <w:pPr>
        <w:rPr>
          <w:lang w:val="en-US"/>
        </w:rPr>
      </w:pPr>
    </w:p>
    <w:p w:rsidR="001570D4" w:rsidRPr="000F56BB" w:rsidRDefault="001570D4" w:rsidP="001570D4">
      <w:pPr>
        <w:rPr>
          <w:lang w:val="en-US"/>
        </w:rPr>
      </w:pPr>
    </w:p>
    <w:p w:rsidR="009072DB" w:rsidRPr="009C238A" w:rsidRDefault="009072DB" w:rsidP="009072DB">
      <w:pPr>
        <w:pStyle w:val="Titolo1"/>
        <w:tabs>
          <w:tab w:val="clear" w:pos="432"/>
          <w:tab w:val="num" w:pos="284"/>
        </w:tabs>
      </w:pPr>
    </w:p>
    <w:p w:rsidR="009072DB" w:rsidRPr="009C238A" w:rsidRDefault="009072DB" w:rsidP="009072DB">
      <w:pPr>
        <w:pStyle w:val="Titolo1"/>
        <w:tabs>
          <w:tab w:val="clear" w:pos="432"/>
          <w:tab w:val="num" w:pos="284"/>
        </w:tabs>
      </w:pPr>
    </w:p>
    <w:p w:rsidR="009072DB" w:rsidRDefault="009072DB" w:rsidP="009072DB">
      <w:pPr>
        <w:pStyle w:val="Titolo1"/>
        <w:tabs>
          <w:tab w:val="clear" w:pos="432"/>
          <w:tab w:val="num" w:pos="284"/>
        </w:tabs>
      </w:pPr>
    </w:p>
    <w:p w:rsidR="003C6221" w:rsidRPr="000F56BB" w:rsidRDefault="003C6221" w:rsidP="003C6221">
      <w:pPr>
        <w:rPr>
          <w:lang w:val="en-US"/>
        </w:rPr>
      </w:pPr>
    </w:p>
    <w:p w:rsidR="003C6221" w:rsidRPr="000F56BB" w:rsidRDefault="003C6221" w:rsidP="003C6221">
      <w:pPr>
        <w:rPr>
          <w:lang w:val="en-US"/>
        </w:rPr>
      </w:pPr>
    </w:p>
    <w:p w:rsidR="003C6221" w:rsidRPr="000F56BB" w:rsidRDefault="003C6221" w:rsidP="003C6221">
      <w:pPr>
        <w:rPr>
          <w:lang w:val="en-US"/>
        </w:rPr>
      </w:pPr>
    </w:p>
    <w:p w:rsidR="003C6221" w:rsidRPr="000F56BB" w:rsidRDefault="003C6221" w:rsidP="003C6221">
      <w:pPr>
        <w:rPr>
          <w:lang w:val="en-US"/>
        </w:rPr>
      </w:pPr>
    </w:p>
    <w:p w:rsidR="003C6221" w:rsidRPr="000F56BB" w:rsidRDefault="003C6221" w:rsidP="003C6221">
      <w:pPr>
        <w:rPr>
          <w:lang w:val="en-US"/>
        </w:rPr>
      </w:pPr>
    </w:p>
    <w:p w:rsidR="009072DB" w:rsidRPr="00D86A6E" w:rsidRDefault="009072DB" w:rsidP="00CF46D1">
      <w:pPr>
        <w:pStyle w:val="Titolo1"/>
        <w:rPr>
          <w:rStyle w:val="CarattereCarattere1"/>
          <w:lang w:val="en-US"/>
        </w:rPr>
      </w:pPr>
      <w:bookmarkStart w:id="4" w:name="_Toc245837740"/>
      <w:r w:rsidRPr="00D86A6E">
        <w:rPr>
          <w:rStyle w:val="CarattereCarattere1"/>
          <w:lang w:val="en-US"/>
        </w:rPr>
        <w:lastRenderedPageBreak/>
        <w:t xml:space="preserve">BOARD OF DIRECTORS, </w:t>
      </w:r>
      <w:r w:rsidR="00D86A6E">
        <w:rPr>
          <w:rStyle w:val="CarattereCarattere1"/>
          <w:lang w:val="en-US"/>
        </w:rPr>
        <w:t xml:space="preserve">BOARD OF STATUTORY AUDITORS AND </w:t>
      </w:r>
      <w:r w:rsidRPr="00D86A6E">
        <w:rPr>
          <w:rStyle w:val="CarattereCarattere1"/>
          <w:lang w:val="en-US"/>
        </w:rPr>
        <w:t>INDEPENDENT AUDITORS</w:t>
      </w:r>
      <w:bookmarkEnd w:id="4"/>
    </w:p>
    <w:p w:rsidR="009072DB" w:rsidRPr="009C238A" w:rsidRDefault="009072DB" w:rsidP="009072DB">
      <w:pPr>
        <w:pStyle w:val="Titolo3"/>
        <w:tabs>
          <w:tab w:val="clear" w:pos="720"/>
          <w:tab w:val="num" w:pos="0"/>
        </w:tabs>
        <w:ind w:left="0" w:firstLine="0"/>
        <w:rPr>
          <w:rStyle w:val="CarattereCarattere1"/>
          <w:color w:val="000000" w:themeColor="text1"/>
          <w:lang w:val="en-US"/>
        </w:rPr>
      </w:pPr>
    </w:p>
    <w:p w:rsidR="009072DB" w:rsidRPr="009C238A" w:rsidRDefault="009072DB" w:rsidP="009072DB">
      <w:pPr>
        <w:rPr>
          <w:smallCaps/>
          <w:color w:val="000000" w:themeColor="text1"/>
          <w:spacing w:val="5"/>
          <w:lang w:val="en-US"/>
        </w:rPr>
      </w:pPr>
      <w:r w:rsidRPr="009C238A">
        <w:rPr>
          <w:b/>
          <w:bCs/>
          <w:spacing w:val="60"/>
          <w:lang w:val="en-US"/>
        </w:rPr>
        <w:t xml:space="preserve">Board of Directors </w:t>
      </w:r>
      <w:r w:rsidRPr="009C238A">
        <w:rPr>
          <w:lang w:val="en-US"/>
        </w:rPr>
        <w:t>(elected on April 22, 2013</w:t>
      </w:r>
      <w:r w:rsidRPr="009C238A">
        <w:rPr>
          <w:bCs/>
          <w:spacing w:val="60"/>
          <w:lang w:val="en-US"/>
        </w:rPr>
        <w:t>)</w:t>
      </w:r>
    </w:p>
    <w:p w:rsidR="009072DB" w:rsidRPr="009C238A" w:rsidRDefault="009072DB" w:rsidP="009072DB">
      <w:pPr>
        <w:rPr>
          <w:smallCaps/>
          <w:color w:val="000000" w:themeColor="text1"/>
          <w:spacing w:val="5"/>
          <w:sz w:val="22"/>
          <w:szCs w:val="22"/>
          <w:lang w:val="en-US"/>
        </w:rPr>
      </w:pPr>
    </w:p>
    <w:p w:rsidR="009072DB" w:rsidRPr="009C238A" w:rsidRDefault="009072DB" w:rsidP="009072DB">
      <w:pPr>
        <w:tabs>
          <w:tab w:val="left" w:pos="3690"/>
        </w:tabs>
        <w:rPr>
          <w:lang w:val="en-US"/>
        </w:rPr>
      </w:pPr>
      <w:bookmarkStart w:id="5" w:name="_Toc230421652"/>
      <w:bookmarkEnd w:id="3"/>
      <w:r w:rsidRPr="009C238A">
        <w:rPr>
          <w:i/>
          <w:iCs/>
          <w:lang w:val="en-US"/>
        </w:rPr>
        <w:t>Chairman</w:t>
      </w:r>
      <w:r w:rsidRPr="009C238A">
        <w:rPr>
          <w:i/>
          <w:iCs/>
          <w:lang w:val="en-US"/>
        </w:rPr>
        <w:tab/>
      </w:r>
      <w:r w:rsidRPr="009C238A">
        <w:rPr>
          <w:i/>
          <w:iCs/>
          <w:lang w:val="en-US"/>
        </w:rPr>
        <w:tab/>
      </w:r>
      <w:r w:rsidRPr="009C238A">
        <w:rPr>
          <w:lang w:val="en-US"/>
        </w:rPr>
        <w:t xml:space="preserve">Gustavo Denegri </w:t>
      </w:r>
    </w:p>
    <w:p w:rsidR="009072DB" w:rsidRPr="009C238A" w:rsidRDefault="009072DB" w:rsidP="009072DB">
      <w:pPr>
        <w:tabs>
          <w:tab w:val="left" w:pos="3690"/>
        </w:tabs>
        <w:rPr>
          <w:i/>
          <w:iCs/>
          <w:lang w:val="en-US"/>
        </w:rPr>
      </w:pPr>
    </w:p>
    <w:p w:rsidR="009072DB" w:rsidRPr="009C238A" w:rsidRDefault="009072DB" w:rsidP="009072DB">
      <w:pPr>
        <w:tabs>
          <w:tab w:val="left" w:pos="3690"/>
        </w:tabs>
        <w:rPr>
          <w:lang w:val="en-US"/>
        </w:rPr>
      </w:pPr>
      <w:r w:rsidRPr="009C238A">
        <w:rPr>
          <w:i/>
          <w:iCs/>
          <w:lang w:val="en-US"/>
        </w:rPr>
        <w:t>Deputy Chairman</w:t>
      </w:r>
      <w:r w:rsidRPr="009C238A">
        <w:rPr>
          <w:i/>
          <w:iCs/>
          <w:lang w:val="en-US"/>
        </w:rPr>
        <w:tab/>
      </w:r>
      <w:r w:rsidRPr="009C238A">
        <w:rPr>
          <w:i/>
          <w:iCs/>
          <w:lang w:val="en-US"/>
        </w:rPr>
        <w:tab/>
      </w:r>
      <w:r w:rsidRPr="009C238A">
        <w:rPr>
          <w:lang w:val="en-US"/>
        </w:rPr>
        <w:t>Michele Denegri</w:t>
      </w:r>
    </w:p>
    <w:p w:rsidR="009072DB" w:rsidRPr="009C238A" w:rsidRDefault="009072DB" w:rsidP="009072DB">
      <w:pPr>
        <w:tabs>
          <w:tab w:val="left" w:pos="3690"/>
        </w:tabs>
        <w:rPr>
          <w:i/>
          <w:iCs/>
          <w:lang w:val="en-US"/>
        </w:rPr>
      </w:pPr>
    </w:p>
    <w:p w:rsidR="009072DB" w:rsidRPr="009C238A" w:rsidRDefault="009072DB" w:rsidP="009072DB">
      <w:pPr>
        <w:tabs>
          <w:tab w:val="left" w:pos="3690"/>
        </w:tabs>
        <w:rPr>
          <w:lang w:val="en-US"/>
        </w:rPr>
      </w:pPr>
      <w:r w:rsidRPr="009C238A">
        <w:rPr>
          <w:i/>
          <w:iCs/>
          <w:lang w:val="en-US"/>
        </w:rPr>
        <w:t>Chief Executive Officer</w:t>
      </w:r>
      <w:r w:rsidRPr="009C238A">
        <w:rPr>
          <w:i/>
          <w:iCs/>
          <w:lang w:val="en-US"/>
        </w:rPr>
        <w:tab/>
      </w:r>
      <w:r w:rsidRPr="009C238A">
        <w:rPr>
          <w:i/>
          <w:iCs/>
          <w:lang w:val="en-US"/>
        </w:rPr>
        <w:tab/>
      </w:r>
      <w:r w:rsidRPr="009C238A">
        <w:rPr>
          <w:lang w:val="en-US"/>
        </w:rPr>
        <w:t>Carlo Rosa (1)</w:t>
      </w:r>
    </w:p>
    <w:p w:rsidR="009072DB" w:rsidRPr="009C238A" w:rsidRDefault="009072DB" w:rsidP="009072DB">
      <w:pPr>
        <w:tabs>
          <w:tab w:val="left" w:pos="3690"/>
        </w:tabs>
        <w:rPr>
          <w:i/>
          <w:iCs/>
          <w:lang w:val="en-US"/>
        </w:rPr>
      </w:pPr>
      <w:r w:rsidRPr="009C238A">
        <w:rPr>
          <w:i/>
          <w:iCs/>
          <w:lang w:val="en-US"/>
        </w:rPr>
        <w:t xml:space="preserve">      </w:t>
      </w:r>
    </w:p>
    <w:p w:rsidR="009072DB" w:rsidRPr="009C238A" w:rsidRDefault="009072DB" w:rsidP="009072DB">
      <w:pPr>
        <w:tabs>
          <w:tab w:val="left" w:pos="3690"/>
        </w:tabs>
        <w:rPr>
          <w:lang w:val="en-US"/>
        </w:rPr>
      </w:pPr>
      <w:r w:rsidRPr="009C238A">
        <w:rPr>
          <w:i/>
          <w:lang w:val="en-US"/>
        </w:rPr>
        <w:t>Directors</w:t>
      </w:r>
      <w:r w:rsidRPr="009C238A">
        <w:rPr>
          <w:i/>
          <w:lang w:val="en-US"/>
        </w:rPr>
        <w:tab/>
      </w:r>
      <w:r w:rsidRPr="009C238A">
        <w:rPr>
          <w:i/>
          <w:lang w:val="en-US"/>
        </w:rPr>
        <w:tab/>
      </w:r>
      <w:r w:rsidRPr="009C238A">
        <w:rPr>
          <w:lang w:val="en-US"/>
        </w:rPr>
        <w:t>Antonio Boniolo</w:t>
      </w:r>
      <w:r w:rsidRPr="009C238A">
        <w:rPr>
          <w:lang w:val="en-US"/>
        </w:rPr>
        <w:tab/>
      </w:r>
    </w:p>
    <w:p w:rsidR="009072DB" w:rsidRPr="009C238A" w:rsidRDefault="009072DB" w:rsidP="009072DB">
      <w:pPr>
        <w:tabs>
          <w:tab w:val="left" w:pos="3690"/>
        </w:tabs>
        <w:rPr>
          <w:lang w:val="en-US"/>
        </w:rPr>
      </w:pPr>
      <w:r w:rsidRPr="009C238A">
        <w:rPr>
          <w:lang w:val="en-US"/>
        </w:rPr>
        <w:tab/>
      </w:r>
      <w:r w:rsidRPr="009C238A">
        <w:rPr>
          <w:lang w:val="en-US"/>
        </w:rPr>
        <w:tab/>
        <w:t>Chen Menachem Even</w:t>
      </w:r>
    </w:p>
    <w:p w:rsidR="009072DB" w:rsidRPr="009C238A" w:rsidRDefault="009072DB" w:rsidP="009072DB">
      <w:pPr>
        <w:tabs>
          <w:tab w:val="left" w:pos="3690"/>
        </w:tabs>
        <w:rPr>
          <w:lang w:val="en-US"/>
        </w:rPr>
      </w:pPr>
      <w:r w:rsidRPr="009C238A">
        <w:rPr>
          <w:lang w:val="en-US"/>
        </w:rPr>
        <w:tab/>
      </w:r>
      <w:r w:rsidRPr="009C238A">
        <w:rPr>
          <w:lang w:val="en-US"/>
        </w:rPr>
        <w:tab/>
        <w:t>Enrico Mario Amo</w:t>
      </w:r>
    </w:p>
    <w:p w:rsidR="009072DB" w:rsidRPr="000F56BB" w:rsidRDefault="009072DB" w:rsidP="009072DB">
      <w:pPr>
        <w:tabs>
          <w:tab w:val="left" w:pos="3690"/>
        </w:tabs>
      </w:pPr>
      <w:r w:rsidRPr="009C238A">
        <w:rPr>
          <w:lang w:val="en-US"/>
        </w:rPr>
        <w:tab/>
      </w:r>
      <w:r w:rsidRPr="009C238A">
        <w:rPr>
          <w:lang w:val="en-US"/>
        </w:rPr>
        <w:tab/>
      </w:r>
      <w:r w:rsidRPr="000F56BB">
        <w:t>Gian Alberto Saporiti</w:t>
      </w:r>
    </w:p>
    <w:p w:rsidR="009072DB" w:rsidRPr="000F56BB" w:rsidRDefault="009072DB" w:rsidP="009072DB">
      <w:pPr>
        <w:tabs>
          <w:tab w:val="left" w:pos="3690"/>
        </w:tabs>
      </w:pPr>
      <w:r w:rsidRPr="000F56BB">
        <w:tab/>
      </w:r>
      <w:r w:rsidRPr="000F56BB">
        <w:tab/>
        <w:t>Giuseppe Alessandria (2) (3)</w:t>
      </w:r>
    </w:p>
    <w:p w:rsidR="009072DB" w:rsidRPr="000F56BB" w:rsidRDefault="009072DB" w:rsidP="009072DB">
      <w:pPr>
        <w:tabs>
          <w:tab w:val="left" w:pos="3690"/>
        </w:tabs>
      </w:pPr>
      <w:r w:rsidRPr="000F56BB">
        <w:tab/>
      </w:r>
      <w:r w:rsidRPr="000F56BB">
        <w:tab/>
        <w:t>Franco Moscetti (2)</w:t>
      </w:r>
    </w:p>
    <w:p w:rsidR="009072DB" w:rsidRPr="000F56BB" w:rsidRDefault="009072DB" w:rsidP="009072DB">
      <w:pPr>
        <w:tabs>
          <w:tab w:val="left" w:pos="3690"/>
        </w:tabs>
      </w:pPr>
      <w:r w:rsidRPr="000F56BB">
        <w:tab/>
      </w:r>
      <w:r w:rsidRPr="000F56BB">
        <w:tab/>
        <w:t>Maria Paola Landini (2)</w:t>
      </w:r>
    </w:p>
    <w:p w:rsidR="009072DB" w:rsidRPr="000F56BB" w:rsidRDefault="009072DB" w:rsidP="009072DB">
      <w:pPr>
        <w:tabs>
          <w:tab w:val="left" w:pos="3690"/>
        </w:tabs>
      </w:pPr>
      <w:r w:rsidRPr="000F56BB">
        <w:tab/>
      </w:r>
      <w:r w:rsidRPr="000F56BB">
        <w:tab/>
        <w:t>Roberta Somati (2)</w:t>
      </w:r>
    </w:p>
    <w:p w:rsidR="009072DB" w:rsidRPr="000F56BB" w:rsidRDefault="009072DB" w:rsidP="009072DB">
      <w:pPr>
        <w:tabs>
          <w:tab w:val="left" w:pos="3690"/>
        </w:tabs>
      </w:pPr>
      <w:r w:rsidRPr="000F56BB">
        <w:tab/>
      </w:r>
      <w:r w:rsidRPr="000F56BB">
        <w:tab/>
        <w:t>Eva Desana</w:t>
      </w:r>
      <w:r w:rsidRPr="000F56BB">
        <w:tab/>
        <w:t xml:space="preserve"> </w:t>
      </w:r>
    </w:p>
    <w:p w:rsidR="009072DB" w:rsidRPr="000F56BB" w:rsidRDefault="009072DB" w:rsidP="009072DB">
      <w:pPr>
        <w:tabs>
          <w:tab w:val="left" w:pos="3690"/>
        </w:tabs>
      </w:pPr>
      <w:r w:rsidRPr="000F56BB">
        <w:tab/>
      </w:r>
      <w:r w:rsidRPr="000F56BB">
        <w:tab/>
        <w:t>Ezio Garibaldi</w:t>
      </w:r>
      <w:r w:rsidRPr="000F56BB">
        <w:tab/>
      </w:r>
      <w:r w:rsidRPr="000F56BB">
        <w:tab/>
      </w:r>
      <w:r w:rsidRPr="000F56BB">
        <w:tab/>
      </w:r>
    </w:p>
    <w:p w:rsidR="009072DB" w:rsidRPr="009C238A" w:rsidRDefault="009072DB" w:rsidP="009072DB">
      <w:pPr>
        <w:tabs>
          <w:tab w:val="left" w:pos="3690"/>
        </w:tabs>
        <w:rPr>
          <w:b/>
          <w:bCs/>
          <w:spacing w:val="60"/>
          <w:lang w:val="en-US"/>
        </w:rPr>
      </w:pPr>
      <w:r w:rsidRPr="009C238A">
        <w:rPr>
          <w:b/>
          <w:bCs/>
          <w:spacing w:val="60"/>
          <w:lang w:val="en-US"/>
        </w:rPr>
        <w:t>Board of Statutory Auditors</w:t>
      </w:r>
    </w:p>
    <w:p w:rsidR="009072DB" w:rsidRPr="009C238A" w:rsidRDefault="009072DB" w:rsidP="009072DB">
      <w:pPr>
        <w:tabs>
          <w:tab w:val="left" w:pos="3690"/>
        </w:tabs>
        <w:rPr>
          <w:b/>
          <w:bCs/>
          <w:spacing w:val="60"/>
          <w:lang w:val="en-US"/>
        </w:rPr>
      </w:pPr>
    </w:p>
    <w:p w:rsidR="009072DB" w:rsidRPr="009C238A" w:rsidRDefault="009072DB" w:rsidP="009072DB">
      <w:pPr>
        <w:tabs>
          <w:tab w:val="left" w:pos="3690"/>
        </w:tabs>
        <w:rPr>
          <w:i/>
          <w:iCs/>
          <w:lang w:val="en-US"/>
        </w:rPr>
      </w:pPr>
      <w:r w:rsidRPr="009C238A">
        <w:rPr>
          <w:i/>
          <w:iCs/>
          <w:lang w:val="en-US"/>
        </w:rPr>
        <w:t>Chairman</w:t>
      </w:r>
      <w:r w:rsidRPr="009C238A">
        <w:rPr>
          <w:i/>
          <w:iCs/>
          <w:lang w:val="en-US"/>
        </w:rPr>
        <w:tab/>
      </w:r>
      <w:r w:rsidRPr="009C238A">
        <w:rPr>
          <w:i/>
          <w:iCs/>
          <w:lang w:val="en-US"/>
        </w:rPr>
        <w:tab/>
      </w:r>
      <w:r w:rsidRPr="009C238A">
        <w:rPr>
          <w:lang w:val="en-US"/>
        </w:rPr>
        <w:t>Roberto Bracchetti</w:t>
      </w:r>
    </w:p>
    <w:p w:rsidR="009072DB" w:rsidRPr="000F56BB" w:rsidRDefault="009072DB" w:rsidP="009072DB">
      <w:pPr>
        <w:tabs>
          <w:tab w:val="left" w:pos="3690"/>
        </w:tabs>
      </w:pPr>
      <w:r w:rsidRPr="000F56BB">
        <w:rPr>
          <w:i/>
          <w:iCs/>
        </w:rPr>
        <w:t>Statutory Auditors</w:t>
      </w:r>
      <w:r w:rsidRPr="000F56BB">
        <w:rPr>
          <w:i/>
          <w:iCs/>
        </w:rPr>
        <w:tab/>
      </w:r>
      <w:r w:rsidRPr="000F56BB">
        <w:rPr>
          <w:i/>
          <w:iCs/>
        </w:rPr>
        <w:tab/>
      </w:r>
      <w:r w:rsidRPr="000F56BB">
        <w:t>Andrea Caretti</w:t>
      </w:r>
    </w:p>
    <w:p w:rsidR="009072DB" w:rsidRPr="000F56BB" w:rsidRDefault="009072DB" w:rsidP="009072DB">
      <w:pPr>
        <w:tabs>
          <w:tab w:val="left" w:pos="3690"/>
        </w:tabs>
      </w:pPr>
      <w:r w:rsidRPr="000F56BB">
        <w:tab/>
      </w:r>
      <w:r w:rsidRPr="000F56BB">
        <w:tab/>
        <w:t>Ottavia Alfano</w:t>
      </w:r>
    </w:p>
    <w:p w:rsidR="009072DB" w:rsidRPr="000F56BB" w:rsidRDefault="009072DB" w:rsidP="009072DB">
      <w:pPr>
        <w:tabs>
          <w:tab w:val="left" w:pos="3690"/>
        </w:tabs>
      </w:pPr>
      <w:r w:rsidRPr="000F56BB">
        <w:rPr>
          <w:i/>
          <w:iCs/>
        </w:rPr>
        <w:t>Alternates</w:t>
      </w:r>
      <w:r w:rsidRPr="000F56BB">
        <w:rPr>
          <w:iCs/>
        </w:rPr>
        <w:tab/>
      </w:r>
      <w:r w:rsidRPr="000F56BB">
        <w:rPr>
          <w:iCs/>
        </w:rPr>
        <w:tab/>
      </w:r>
      <w:r w:rsidRPr="000F56BB">
        <w:t>Bruno Marchina</w:t>
      </w:r>
    </w:p>
    <w:p w:rsidR="009072DB" w:rsidRPr="000F56BB" w:rsidRDefault="009072DB" w:rsidP="009072DB">
      <w:pPr>
        <w:tabs>
          <w:tab w:val="left" w:pos="3690"/>
        </w:tabs>
      </w:pPr>
      <w:r w:rsidRPr="000F56BB">
        <w:tab/>
      </w:r>
      <w:r w:rsidRPr="000F56BB">
        <w:tab/>
        <w:t xml:space="preserve">Maria Carla Bottini </w:t>
      </w:r>
    </w:p>
    <w:p w:rsidR="009072DB" w:rsidRPr="000F56BB" w:rsidRDefault="009072DB" w:rsidP="009072DB">
      <w:pPr>
        <w:tabs>
          <w:tab w:val="left" w:pos="3690"/>
        </w:tabs>
        <w:rPr>
          <w:i/>
          <w:iCs/>
        </w:rPr>
      </w:pPr>
    </w:p>
    <w:p w:rsidR="009072DB" w:rsidRPr="009C238A" w:rsidRDefault="009072DB" w:rsidP="009072DB">
      <w:pPr>
        <w:tabs>
          <w:tab w:val="left" w:pos="3690"/>
        </w:tabs>
        <w:rPr>
          <w:lang w:val="en-US"/>
        </w:rPr>
      </w:pPr>
      <w:r w:rsidRPr="009C238A">
        <w:rPr>
          <w:b/>
          <w:bCs/>
          <w:spacing w:val="60"/>
          <w:lang w:val="en-US"/>
        </w:rPr>
        <w:t>Independent Auditors</w:t>
      </w:r>
      <w:r w:rsidRPr="009C238A">
        <w:rPr>
          <w:b/>
          <w:bCs/>
          <w:spacing w:val="60"/>
          <w:lang w:val="en-US"/>
        </w:rPr>
        <w:tab/>
      </w:r>
      <w:r w:rsidR="00D86A6E">
        <w:rPr>
          <w:b/>
          <w:bCs/>
          <w:spacing w:val="60"/>
          <w:lang w:val="en-US"/>
        </w:rPr>
        <w:tab/>
      </w:r>
      <w:r w:rsidRPr="009C238A">
        <w:rPr>
          <w:lang w:val="en-US"/>
        </w:rPr>
        <w:t>Deloitte &amp; Touche S.p.A.</w:t>
      </w:r>
    </w:p>
    <w:p w:rsidR="009072DB" w:rsidRPr="009C238A" w:rsidRDefault="009072DB" w:rsidP="009072DB">
      <w:pPr>
        <w:tabs>
          <w:tab w:val="left" w:pos="3690"/>
        </w:tabs>
        <w:ind w:left="769"/>
        <w:rPr>
          <w:lang w:val="en-US"/>
        </w:rPr>
      </w:pPr>
    </w:p>
    <w:p w:rsidR="009072DB" w:rsidRPr="009C238A" w:rsidRDefault="009072DB" w:rsidP="009072DB">
      <w:pPr>
        <w:tabs>
          <w:tab w:val="left" w:pos="3690"/>
        </w:tabs>
        <w:rPr>
          <w:lang w:val="en-US"/>
        </w:rPr>
      </w:pPr>
      <w:r w:rsidRPr="009C238A">
        <w:rPr>
          <w:lang w:val="en-US"/>
        </w:rPr>
        <w:t>COMMITTEES</w:t>
      </w:r>
    </w:p>
    <w:p w:rsidR="009072DB" w:rsidRPr="009C238A" w:rsidRDefault="009072DB" w:rsidP="009072DB">
      <w:pPr>
        <w:tabs>
          <w:tab w:val="left" w:pos="3690"/>
        </w:tabs>
        <w:rPr>
          <w:b/>
          <w:lang w:val="en-US"/>
        </w:rPr>
      </w:pPr>
    </w:p>
    <w:p w:rsidR="009072DB" w:rsidRPr="009C238A" w:rsidRDefault="009072DB" w:rsidP="009072DB">
      <w:pPr>
        <w:tabs>
          <w:tab w:val="left" w:pos="3690"/>
        </w:tabs>
        <w:rPr>
          <w:lang w:val="en-US"/>
        </w:rPr>
      </w:pPr>
      <w:r w:rsidRPr="009C238A">
        <w:rPr>
          <w:b/>
          <w:lang w:val="en-US"/>
        </w:rPr>
        <w:t>Internal Control and Risks Committee</w:t>
      </w:r>
      <w:r w:rsidRPr="009C238A">
        <w:rPr>
          <w:lang w:val="en-US"/>
        </w:rPr>
        <w:tab/>
        <w:t>Franco Moscetti (Chairman)</w:t>
      </w:r>
    </w:p>
    <w:p w:rsidR="009072DB" w:rsidRPr="000F56BB" w:rsidRDefault="009072DB" w:rsidP="009072DB">
      <w:pPr>
        <w:tabs>
          <w:tab w:val="left" w:pos="3690"/>
        </w:tabs>
      </w:pPr>
      <w:r w:rsidRPr="009C238A">
        <w:rPr>
          <w:lang w:val="en-US"/>
        </w:rPr>
        <w:tab/>
      </w:r>
      <w:r w:rsidRPr="009C238A">
        <w:rPr>
          <w:lang w:val="en-US"/>
        </w:rPr>
        <w:tab/>
      </w:r>
      <w:r w:rsidRPr="000F56BB">
        <w:t xml:space="preserve">Enrico Mario Amo </w:t>
      </w:r>
    </w:p>
    <w:p w:rsidR="009072DB" w:rsidRPr="000F56BB" w:rsidRDefault="009072DB" w:rsidP="009072DB">
      <w:pPr>
        <w:tabs>
          <w:tab w:val="left" w:pos="3690"/>
        </w:tabs>
      </w:pPr>
      <w:r w:rsidRPr="000F56BB">
        <w:tab/>
      </w:r>
      <w:r w:rsidRPr="000F56BB">
        <w:tab/>
        <w:t xml:space="preserve">Roberta Somati </w:t>
      </w:r>
    </w:p>
    <w:p w:rsidR="009072DB" w:rsidRPr="000F56BB" w:rsidRDefault="009072DB" w:rsidP="009072DB">
      <w:pPr>
        <w:tabs>
          <w:tab w:val="left" w:pos="3690"/>
        </w:tabs>
        <w:rPr>
          <w:b/>
        </w:rPr>
      </w:pPr>
    </w:p>
    <w:p w:rsidR="009072DB" w:rsidRPr="000F56BB" w:rsidRDefault="009072DB" w:rsidP="009072DB">
      <w:pPr>
        <w:tabs>
          <w:tab w:val="left" w:pos="3690"/>
        </w:tabs>
      </w:pPr>
      <w:r w:rsidRPr="000F56BB">
        <w:rPr>
          <w:b/>
        </w:rPr>
        <w:t>Compensation Committee</w:t>
      </w:r>
      <w:r w:rsidRPr="000F56BB">
        <w:tab/>
      </w:r>
      <w:r w:rsidRPr="000F56BB">
        <w:tab/>
        <w:t>Giuseppe Alessandria (Chairman)</w:t>
      </w:r>
    </w:p>
    <w:p w:rsidR="009072DB" w:rsidRPr="000F56BB" w:rsidRDefault="009072DB" w:rsidP="009072DB">
      <w:pPr>
        <w:tabs>
          <w:tab w:val="left" w:pos="3690"/>
        </w:tabs>
      </w:pPr>
      <w:r w:rsidRPr="000F56BB">
        <w:tab/>
      </w:r>
      <w:r w:rsidRPr="000F56BB">
        <w:tab/>
        <w:t xml:space="preserve">Roberta Somati </w:t>
      </w:r>
    </w:p>
    <w:p w:rsidR="009072DB" w:rsidRPr="000F56BB" w:rsidRDefault="009072DB" w:rsidP="009072DB">
      <w:pPr>
        <w:tabs>
          <w:tab w:val="left" w:pos="3690"/>
        </w:tabs>
      </w:pPr>
      <w:r w:rsidRPr="000F56BB">
        <w:tab/>
      </w:r>
      <w:r w:rsidRPr="000F56BB">
        <w:tab/>
        <w:t>Michele Denegri</w:t>
      </w:r>
    </w:p>
    <w:p w:rsidR="009072DB" w:rsidRPr="000F56BB" w:rsidRDefault="009072DB" w:rsidP="009072DB">
      <w:pPr>
        <w:tabs>
          <w:tab w:val="left" w:pos="3690"/>
        </w:tabs>
        <w:ind w:left="2836" w:firstLine="709"/>
      </w:pPr>
    </w:p>
    <w:p w:rsidR="009072DB" w:rsidRPr="000F56BB" w:rsidRDefault="009072DB" w:rsidP="009072DB">
      <w:pPr>
        <w:tabs>
          <w:tab w:val="left" w:pos="3690"/>
        </w:tabs>
      </w:pPr>
      <w:r w:rsidRPr="000F56BB">
        <w:rPr>
          <w:b/>
        </w:rPr>
        <w:t xml:space="preserve">Nominating Committee </w:t>
      </w:r>
      <w:r w:rsidRPr="000F56BB">
        <w:rPr>
          <w:b/>
        </w:rPr>
        <w:tab/>
      </w:r>
      <w:r w:rsidRPr="000F56BB">
        <w:rPr>
          <w:b/>
        </w:rPr>
        <w:tab/>
      </w:r>
      <w:r w:rsidR="00D86A6E" w:rsidRPr="000F56BB">
        <w:t>Franco Moscetti (Chairman</w:t>
      </w:r>
      <w:r w:rsidRPr="000F56BB">
        <w:t>)</w:t>
      </w:r>
      <w:r w:rsidRPr="000F56BB">
        <w:rPr>
          <w:b/>
        </w:rPr>
        <w:br/>
      </w:r>
      <w:r w:rsidRPr="000F56BB">
        <w:tab/>
      </w:r>
      <w:r w:rsidRPr="000F56BB">
        <w:tab/>
        <w:t>Giuseppe Alessandria</w:t>
      </w:r>
    </w:p>
    <w:p w:rsidR="009072DB" w:rsidRPr="000F56BB" w:rsidRDefault="009072DB" w:rsidP="009072DB">
      <w:pPr>
        <w:tabs>
          <w:tab w:val="left" w:pos="3690"/>
        </w:tabs>
      </w:pPr>
      <w:r w:rsidRPr="000F56BB">
        <w:tab/>
      </w:r>
      <w:r w:rsidRPr="000F56BB">
        <w:tab/>
        <w:t>Michele Denegri</w:t>
      </w:r>
    </w:p>
    <w:p w:rsidR="009072DB" w:rsidRPr="000F56BB" w:rsidRDefault="009072DB" w:rsidP="009072DB">
      <w:pPr>
        <w:tabs>
          <w:tab w:val="left" w:pos="3690"/>
        </w:tabs>
      </w:pPr>
    </w:p>
    <w:p w:rsidR="009072DB" w:rsidRPr="000F56BB" w:rsidRDefault="009072DB" w:rsidP="009072DB">
      <w:pPr>
        <w:tabs>
          <w:tab w:val="left" w:pos="3690"/>
        </w:tabs>
        <w:rPr>
          <w:b/>
        </w:rPr>
      </w:pPr>
      <w:r w:rsidRPr="000F56BB">
        <w:rPr>
          <w:b/>
        </w:rPr>
        <w:t xml:space="preserve">Related-party Committee </w:t>
      </w:r>
      <w:r w:rsidRPr="000F56BB">
        <w:rPr>
          <w:b/>
        </w:rPr>
        <w:tab/>
      </w:r>
      <w:r w:rsidRPr="000F56BB">
        <w:rPr>
          <w:b/>
        </w:rPr>
        <w:tab/>
      </w:r>
      <w:r w:rsidRPr="000F56BB">
        <w:t>Franco Moscetti (Coordinator)</w:t>
      </w:r>
    </w:p>
    <w:p w:rsidR="009072DB" w:rsidRPr="000F56BB" w:rsidRDefault="009072DB" w:rsidP="009072DB">
      <w:pPr>
        <w:tabs>
          <w:tab w:val="left" w:pos="3690"/>
        </w:tabs>
      </w:pPr>
      <w:r w:rsidRPr="000F56BB">
        <w:rPr>
          <w:b/>
        </w:rPr>
        <w:t xml:space="preserve"> </w:t>
      </w:r>
      <w:r w:rsidRPr="000F56BB">
        <w:rPr>
          <w:b/>
        </w:rPr>
        <w:tab/>
      </w:r>
      <w:r w:rsidRPr="000F56BB">
        <w:rPr>
          <w:b/>
        </w:rPr>
        <w:tab/>
      </w:r>
      <w:r w:rsidRPr="000F56BB">
        <w:t>Giuseppe Alessandria</w:t>
      </w:r>
    </w:p>
    <w:p w:rsidR="009072DB" w:rsidRPr="009C238A" w:rsidRDefault="009072DB" w:rsidP="009072DB">
      <w:pPr>
        <w:tabs>
          <w:tab w:val="left" w:pos="3690"/>
        </w:tabs>
        <w:rPr>
          <w:lang w:val="en-US"/>
        </w:rPr>
      </w:pPr>
      <w:r w:rsidRPr="000F56BB">
        <w:tab/>
      </w:r>
      <w:r w:rsidRPr="000F56BB">
        <w:tab/>
      </w:r>
      <w:r w:rsidRPr="009C238A">
        <w:rPr>
          <w:lang w:val="en-US"/>
        </w:rPr>
        <w:t>Roberta Somati</w:t>
      </w:r>
    </w:p>
    <w:p w:rsidR="009072DB" w:rsidRPr="009C238A" w:rsidRDefault="009072DB" w:rsidP="009072DB">
      <w:pPr>
        <w:ind w:left="2832" w:firstLine="708"/>
        <w:rPr>
          <w:lang w:val="en-US"/>
        </w:rPr>
      </w:pPr>
    </w:p>
    <w:p w:rsidR="009072DB" w:rsidRPr="009C238A" w:rsidRDefault="009072DB" w:rsidP="009072DB">
      <w:pPr>
        <w:numPr>
          <w:ilvl w:val="0"/>
          <w:numId w:val="3"/>
        </w:numPr>
        <w:tabs>
          <w:tab w:val="clear" w:pos="720"/>
          <w:tab w:val="num" w:pos="426"/>
        </w:tabs>
        <w:ind w:hanging="720"/>
        <w:rPr>
          <w:sz w:val="16"/>
          <w:szCs w:val="16"/>
          <w:lang w:val="en-US"/>
        </w:rPr>
      </w:pPr>
      <w:r w:rsidRPr="009C238A">
        <w:rPr>
          <w:sz w:val="16"/>
          <w:szCs w:val="16"/>
          <w:lang w:val="en-US"/>
        </w:rPr>
        <w:t>General Manager</w:t>
      </w:r>
    </w:p>
    <w:p w:rsidR="009072DB" w:rsidRPr="009C238A" w:rsidRDefault="009072DB" w:rsidP="009072DB">
      <w:pPr>
        <w:numPr>
          <w:ilvl w:val="0"/>
          <w:numId w:val="3"/>
        </w:numPr>
        <w:tabs>
          <w:tab w:val="clear" w:pos="720"/>
          <w:tab w:val="num" w:pos="426"/>
        </w:tabs>
        <w:ind w:hanging="720"/>
        <w:rPr>
          <w:sz w:val="16"/>
          <w:szCs w:val="16"/>
          <w:lang w:val="en-US"/>
        </w:rPr>
      </w:pPr>
      <w:r w:rsidRPr="009C238A">
        <w:rPr>
          <w:sz w:val="16"/>
          <w:szCs w:val="16"/>
          <w:lang w:val="en-US"/>
        </w:rPr>
        <w:t>Independent Director</w:t>
      </w:r>
    </w:p>
    <w:p w:rsidR="009072DB" w:rsidRPr="009C238A" w:rsidRDefault="009072DB" w:rsidP="009072DB">
      <w:pPr>
        <w:numPr>
          <w:ilvl w:val="0"/>
          <w:numId w:val="3"/>
        </w:numPr>
        <w:tabs>
          <w:tab w:val="clear" w:pos="720"/>
          <w:tab w:val="num" w:pos="426"/>
        </w:tabs>
        <w:ind w:hanging="720"/>
        <w:rPr>
          <w:sz w:val="16"/>
          <w:szCs w:val="16"/>
          <w:lang w:val="en-US"/>
        </w:rPr>
      </w:pPr>
      <w:r w:rsidRPr="009C238A">
        <w:rPr>
          <w:sz w:val="16"/>
          <w:szCs w:val="16"/>
          <w:lang w:val="en-US"/>
        </w:rPr>
        <w:t>Lead Independent Director</w:t>
      </w:r>
    </w:p>
    <w:p w:rsidR="009072DB" w:rsidRPr="00CF46D1" w:rsidRDefault="009072DB" w:rsidP="00CF46D1">
      <w:pPr>
        <w:pStyle w:val="Titolo1"/>
      </w:pPr>
      <w:bookmarkStart w:id="6" w:name="_Toc245837741"/>
      <w:r w:rsidRPr="00CF46D1">
        <w:lastRenderedPageBreak/>
        <w:t>THE DIASORIN GROUP</w:t>
      </w:r>
      <w:bookmarkEnd w:id="5"/>
      <w:bookmarkEnd w:id="6"/>
    </w:p>
    <w:p w:rsidR="009072DB" w:rsidRPr="009C238A" w:rsidRDefault="009072DB" w:rsidP="009072DB">
      <w:pPr>
        <w:pStyle w:val="NormaleWeb"/>
        <w:spacing w:before="120" w:beforeAutospacing="0" w:after="120" w:afterAutospacing="0" w:line="280" w:lineRule="exact"/>
        <w:jc w:val="both"/>
        <w:rPr>
          <w:color w:val="000000" w:themeColor="text1"/>
          <w:lang w:val="en-US"/>
        </w:rPr>
      </w:pPr>
      <w:r w:rsidRPr="009C238A">
        <w:rPr>
          <w:b/>
          <w:color w:val="000000" w:themeColor="text1"/>
          <w:lang w:val="en-US"/>
        </w:rPr>
        <w:t>Diasorin</w:t>
      </w:r>
      <w:r w:rsidRPr="009C238A">
        <w:rPr>
          <w:color w:val="000000" w:themeColor="text1"/>
          <w:lang w:val="en-US"/>
        </w:rPr>
        <w:t xml:space="preserve"> is an Italian company </w:t>
      </w:r>
      <w:r w:rsidRPr="009C238A">
        <w:rPr>
          <w:b/>
          <w:color w:val="000000" w:themeColor="text1"/>
          <w:lang w:val="en-US"/>
        </w:rPr>
        <w:t>listed</w:t>
      </w:r>
      <w:r w:rsidRPr="009C238A">
        <w:rPr>
          <w:color w:val="000000" w:themeColor="text1"/>
          <w:lang w:val="en-US"/>
        </w:rPr>
        <w:t xml:space="preserve"> on the stock market in the </w:t>
      </w:r>
      <w:r w:rsidRPr="009C238A">
        <w:rPr>
          <w:b/>
          <w:color w:val="000000" w:themeColor="text1"/>
          <w:lang w:val="en-US"/>
        </w:rPr>
        <w:t>FTSE MIB Index</w:t>
      </w:r>
      <w:r w:rsidRPr="009C238A">
        <w:rPr>
          <w:color w:val="000000" w:themeColor="text1"/>
          <w:lang w:val="en-US"/>
        </w:rPr>
        <w:t xml:space="preserve">. It is a global leader in the field of biotechnologies: for over 40 years the company has been developing, producing and commercializing reagent kits for the in vitro diagnostics worldwide. </w:t>
      </w:r>
    </w:p>
    <w:p w:rsidR="009072DB" w:rsidRPr="009C238A" w:rsidRDefault="009072DB" w:rsidP="009072DB">
      <w:pPr>
        <w:shd w:val="clear" w:color="auto" w:fill="FFFFFF"/>
        <w:tabs>
          <w:tab w:val="left" w:pos="3330"/>
          <w:tab w:val="left" w:pos="3870"/>
        </w:tabs>
        <w:spacing w:line="280" w:lineRule="exact"/>
        <w:ind w:right="16"/>
        <w:jc w:val="both"/>
        <w:rPr>
          <w:color w:val="000000" w:themeColor="text1"/>
          <w:lang w:val="en-US"/>
        </w:rPr>
      </w:pPr>
      <w:r w:rsidRPr="009C238A">
        <w:rPr>
          <w:color w:val="000000" w:themeColor="text1"/>
          <w:lang w:val="en-US"/>
        </w:rPr>
        <w:t>Diasorin’s products are specifically designed for hospital and private testing laboratories, in the market of:</w:t>
      </w:r>
    </w:p>
    <w:p w:rsidR="009072DB" w:rsidRPr="009C238A" w:rsidRDefault="009072DB" w:rsidP="009072DB">
      <w:pPr>
        <w:shd w:val="clear" w:color="auto" w:fill="FFFFFF"/>
        <w:tabs>
          <w:tab w:val="left" w:pos="3330"/>
          <w:tab w:val="left" w:pos="3870"/>
        </w:tabs>
        <w:spacing w:line="280" w:lineRule="exact"/>
        <w:ind w:right="16"/>
        <w:jc w:val="both"/>
        <w:rPr>
          <w:color w:val="000000" w:themeColor="text1"/>
          <w:spacing w:val="4"/>
          <w:lang w:val="en-US"/>
        </w:rPr>
      </w:pPr>
    </w:p>
    <w:p w:rsidR="009072DB" w:rsidRPr="009C238A" w:rsidRDefault="009072DB" w:rsidP="009072DB">
      <w:pPr>
        <w:pStyle w:val="Paragrafoelenco"/>
        <w:numPr>
          <w:ilvl w:val="0"/>
          <w:numId w:val="8"/>
        </w:numPr>
        <w:shd w:val="clear" w:color="auto" w:fill="FFFFFF"/>
        <w:tabs>
          <w:tab w:val="left" w:pos="450"/>
          <w:tab w:val="left" w:pos="3330"/>
          <w:tab w:val="left" w:pos="3870"/>
        </w:tabs>
        <w:spacing w:before="60" w:line="280" w:lineRule="exact"/>
        <w:ind w:left="540" w:right="14"/>
        <w:jc w:val="both"/>
        <w:rPr>
          <w:color w:val="000000" w:themeColor="text1"/>
          <w:spacing w:val="4"/>
          <w:lang w:val="en-US"/>
        </w:rPr>
      </w:pPr>
      <w:r w:rsidRPr="009C238A">
        <w:rPr>
          <w:b/>
          <w:color w:val="000000" w:themeColor="text1"/>
          <w:spacing w:val="4"/>
          <w:lang w:val="en-US"/>
        </w:rPr>
        <w:t>immunodiagnostics</w:t>
      </w:r>
    </w:p>
    <w:p w:rsidR="009072DB" w:rsidRPr="009C238A" w:rsidRDefault="009072DB" w:rsidP="009072DB">
      <w:pPr>
        <w:pStyle w:val="Paragrafoelenco"/>
        <w:numPr>
          <w:ilvl w:val="0"/>
          <w:numId w:val="8"/>
        </w:numPr>
        <w:shd w:val="clear" w:color="auto" w:fill="FFFFFF"/>
        <w:tabs>
          <w:tab w:val="left" w:pos="450"/>
          <w:tab w:val="left" w:pos="3330"/>
          <w:tab w:val="left" w:pos="3870"/>
        </w:tabs>
        <w:spacing w:before="100" w:beforeAutospacing="1" w:line="280" w:lineRule="exact"/>
        <w:ind w:left="540" w:right="14"/>
        <w:jc w:val="both"/>
        <w:rPr>
          <w:color w:val="000000" w:themeColor="text1"/>
          <w:spacing w:val="4"/>
          <w:lang w:val="en-US"/>
        </w:rPr>
      </w:pPr>
      <w:r w:rsidRPr="009C238A">
        <w:rPr>
          <w:b/>
          <w:color w:val="000000" w:themeColor="text1"/>
          <w:spacing w:val="4"/>
          <w:lang w:val="en-US"/>
        </w:rPr>
        <w:t>molecular diagnostics</w:t>
      </w:r>
    </w:p>
    <w:p w:rsidR="009072DB" w:rsidRPr="009C238A" w:rsidRDefault="009072DB" w:rsidP="009072DB">
      <w:pPr>
        <w:pStyle w:val="NormaleWeb"/>
        <w:spacing w:after="180" w:afterAutospacing="0" w:line="280" w:lineRule="exact"/>
        <w:jc w:val="both"/>
        <w:rPr>
          <w:b/>
          <w:color w:val="000000" w:themeColor="text1"/>
          <w:lang w:val="en-US"/>
        </w:rPr>
      </w:pPr>
      <w:r w:rsidRPr="009C238A">
        <w:rPr>
          <w:color w:val="000000" w:themeColor="text1"/>
          <w:spacing w:val="4"/>
          <w:lang w:val="en-US"/>
        </w:rPr>
        <w:t xml:space="preserve">where the Group provides diagnostic tests </w:t>
      </w:r>
      <w:r w:rsidRPr="009C238A">
        <w:rPr>
          <w:b/>
          <w:color w:val="000000" w:themeColor="text1"/>
          <w:spacing w:val="4"/>
          <w:lang w:val="en-US"/>
        </w:rPr>
        <w:t xml:space="preserve">in different clinical areas. </w:t>
      </w:r>
      <w:r w:rsidRPr="009C238A">
        <w:rPr>
          <w:color w:val="000000" w:themeColor="text1"/>
          <w:lang w:val="en-US"/>
        </w:rPr>
        <w:t>Diasorin can offer to the market an assay menu that is unique for its width and presence of specialty tests, which identify Diasorin as the In Vitro Diagnostic “</w:t>
      </w:r>
      <w:r w:rsidRPr="009C238A">
        <w:rPr>
          <w:b/>
          <w:color w:val="000000" w:themeColor="text1"/>
          <w:lang w:val="en-US"/>
        </w:rPr>
        <w:t>Specialist”.</w:t>
      </w:r>
    </w:p>
    <w:p w:rsidR="009072DB" w:rsidRPr="009C238A" w:rsidRDefault="009072DB" w:rsidP="009072DB">
      <w:pPr>
        <w:spacing w:before="240" w:after="180" w:line="280" w:lineRule="exact"/>
        <w:jc w:val="both"/>
        <w:rPr>
          <w:color w:val="000000" w:themeColor="text1"/>
          <w:lang w:val="en-US"/>
        </w:rPr>
      </w:pPr>
      <w:r w:rsidRPr="009C238A">
        <w:rPr>
          <w:color w:val="000000" w:themeColor="text1"/>
          <w:lang w:val="en-US" w:eastAsia="en-GB"/>
        </w:rPr>
        <w:t xml:space="preserve">Over the last 10 years the Group strengthened its commercial </w:t>
      </w:r>
      <w:r w:rsidRPr="009C238A">
        <w:rPr>
          <w:b/>
          <w:color w:val="000000" w:themeColor="text1"/>
          <w:lang w:val="en-US" w:eastAsia="en-GB"/>
        </w:rPr>
        <w:t>presence on a global scale</w:t>
      </w:r>
      <w:r w:rsidRPr="009C238A">
        <w:rPr>
          <w:color w:val="000000" w:themeColor="text1"/>
          <w:lang w:val="en-US" w:eastAsia="en-GB"/>
        </w:rPr>
        <w:t xml:space="preserve">. Starting from the historical reference markets, Europe and USA, the company opened new commercial branches in all the emerging markets, such as Brazil, Mexico, China and Australia, confirming its presence, as </w:t>
      </w:r>
      <w:r w:rsidRPr="009C238A">
        <w:rPr>
          <w:b/>
          <w:color w:val="000000" w:themeColor="text1"/>
          <w:lang w:val="en-US" w:eastAsia="en-GB"/>
        </w:rPr>
        <w:t xml:space="preserve">Global Player, </w:t>
      </w:r>
      <w:r w:rsidRPr="009C238A">
        <w:rPr>
          <w:color w:val="000000" w:themeColor="text1"/>
          <w:lang w:val="en-US" w:eastAsia="en-GB"/>
        </w:rPr>
        <w:t xml:space="preserve">in </w:t>
      </w:r>
      <w:r w:rsidRPr="009C238A">
        <w:rPr>
          <w:b/>
          <w:color w:val="000000" w:themeColor="text1"/>
          <w:lang w:val="en-US" w:eastAsia="en-GB"/>
        </w:rPr>
        <w:t>over 60 countries</w:t>
      </w:r>
      <w:r w:rsidRPr="009C238A">
        <w:rPr>
          <w:color w:val="000000" w:themeColor="text1"/>
          <w:lang w:val="en-US" w:eastAsia="en-GB"/>
        </w:rPr>
        <w:t>.</w:t>
      </w:r>
    </w:p>
    <w:p w:rsidR="009072DB" w:rsidRPr="009C238A" w:rsidRDefault="009072DB" w:rsidP="00902174">
      <w:pPr>
        <w:spacing w:line="276" w:lineRule="auto"/>
        <w:rPr>
          <w:rFonts w:eastAsiaTheme="majorEastAsia"/>
          <w:b/>
          <w:bCs/>
          <w:smallCaps/>
          <w:color w:val="000000" w:themeColor="text1"/>
          <w:sz w:val="28"/>
          <w:szCs w:val="28"/>
          <w:lang w:val="en-US"/>
        </w:rPr>
      </w:pPr>
      <w:r w:rsidRPr="009C238A">
        <w:rPr>
          <w:b/>
          <w:bCs/>
          <w:color w:val="000000" w:themeColor="text1"/>
          <w:lang w:val="en-US"/>
        </w:rPr>
        <w:t xml:space="preserve">Research and Development </w:t>
      </w:r>
      <w:r w:rsidRPr="009C238A">
        <w:rPr>
          <w:bCs/>
          <w:color w:val="000000" w:themeColor="text1"/>
          <w:lang w:val="en-US"/>
        </w:rPr>
        <w:t xml:space="preserve">is pivotal in Diasorin business model. Through its research activity and the following expansion of its </w:t>
      </w:r>
      <w:r w:rsidRPr="009C238A">
        <w:rPr>
          <w:b/>
          <w:bCs/>
          <w:color w:val="000000" w:themeColor="text1"/>
          <w:lang w:val="en-US"/>
        </w:rPr>
        <w:t xml:space="preserve">immunodiagnostic </w:t>
      </w:r>
      <w:r w:rsidRPr="009C238A">
        <w:rPr>
          <w:bCs/>
          <w:color w:val="000000" w:themeColor="text1"/>
          <w:lang w:val="en-US"/>
        </w:rPr>
        <w:t xml:space="preserve">and, more recently, </w:t>
      </w:r>
      <w:r w:rsidRPr="009C238A">
        <w:rPr>
          <w:b/>
          <w:bCs/>
          <w:color w:val="000000" w:themeColor="text1"/>
          <w:lang w:val="en-US"/>
        </w:rPr>
        <w:t>molecular diagnostic</w:t>
      </w:r>
      <w:r w:rsidRPr="009C238A">
        <w:rPr>
          <w:bCs/>
          <w:color w:val="000000" w:themeColor="text1"/>
          <w:lang w:val="en-US"/>
        </w:rPr>
        <w:t xml:space="preserve"> products, the Group constantly supports clinical laboratory needs and activities, providing solutions that are</w:t>
      </w:r>
      <w:r w:rsidRPr="009C238A">
        <w:rPr>
          <w:color w:val="000000" w:themeColor="text1"/>
          <w:lang w:val="en-US"/>
        </w:rPr>
        <w:t xml:space="preserve">: </w:t>
      </w:r>
    </w:p>
    <w:p w:rsidR="009072DB" w:rsidRPr="009C238A" w:rsidRDefault="009072DB" w:rsidP="009072DB">
      <w:pPr>
        <w:pStyle w:val="NormaleWeb"/>
        <w:numPr>
          <w:ilvl w:val="0"/>
          <w:numId w:val="9"/>
        </w:numPr>
        <w:spacing w:before="0" w:beforeAutospacing="0"/>
        <w:jc w:val="both"/>
        <w:rPr>
          <w:color w:val="000000" w:themeColor="text1"/>
          <w:lang w:val="en-US"/>
        </w:rPr>
      </w:pPr>
      <w:r w:rsidRPr="009C238A">
        <w:rPr>
          <w:color w:val="000000" w:themeColor="text1"/>
          <w:lang w:val="en-US"/>
        </w:rPr>
        <w:t>innovative;</w:t>
      </w:r>
    </w:p>
    <w:p w:rsidR="009072DB" w:rsidRPr="009C238A" w:rsidRDefault="009072DB" w:rsidP="009072DB">
      <w:pPr>
        <w:pStyle w:val="NormaleWeb"/>
        <w:numPr>
          <w:ilvl w:val="0"/>
          <w:numId w:val="9"/>
        </w:numPr>
        <w:jc w:val="both"/>
        <w:rPr>
          <w:color w:val="000000" w:themeColor="text1"/>
          <w:lang w:val="en-US"/>
        </w:rPr>
      </w:pPr>
      <w:r w:rsidRPr="009C238A">
        <w:rPr>
          <w:color w:val="000000" w:themeColor="text1"/>
          <w:lang w:val="en-US"/>
        </w:rPr>
        <w:t>fully automated and standardized;</w:t>
      </w:r>
    </w:p>
    <w:p w:rsidR="009072DB" w:rsidRPr="009C238A" w:rsidRDefault="009072DB" w:rsidP="009072DB">
      <w:pPr>
        <w:pStyle w:val="NormaleWeb"/>
        <w:numPr>
          <w:ilvl w:val="0"/>
          <w:numId w:val="9"/>
        </w:numPr>
        <w:jc w:val="both"/>
        <w:rPr>
          <w:color w:val="000000" w:themeColor="text1"/>
          <w:lang w:val="en-US"/>
        </w:rPr>
      </w:pPr>
      <w:r w:rsidRPr="009C238A">
        <w:rPr>
          <w:color w:val="000000" w:themeColor="text1"/>
          <w:lang w:val="en-US"/>
        </w:rPr>
        <w:t>reliable;</w:t>
      </w:r>
    </w:p>
    <w:p w:rsidR="009072DB" w:rsidRPr="009C238A" w:rsidRDefault="009072DB" w:rsidP="009072DB">
      <w:pPr>
        <w:pStyle w:val="NormaleWeb"/>
        <w:numPr>
          <w:ilvl w:val="0"/>
          <w:numId w:val="9"/>
        </w:numPr>
        <w:jc w:val="both"/>
        <w:rPr>
          <w:color w:val="000000" w:themeColor="text1"/>
          <w:lang w:val="en-US"/>
        </w:rPr>
      </w:pPr>
      <w:r w:rsidRPr="009C238A">
        <w:rPr>
          <w:color w:val="000000" w:themeColor="text1"/>
          <w:lang w:val="en-US"/>
        </w:rPr>
        <w:t>easy to use;</w:t>
      </w:r>
    </w:p>
    <w:p w:rsidR="009072DB" w:rsidRPr="009C238A" w:rsidRDefault="009072DB" w:rsidP="009072DB">
      <w:pPr>
        <w:pStyle w:val="NormaleWeb"/>
        <w:numPr>
          <w:ilvl w:val="0"/>
          <w:numId w:val="9"/>
        </w:numPr>
        <w:spacing w:after="0" w:afterAutospacing="0"/>
        <w:jc w:val="both"/>
        <w:rPr>
          <w:color w:val="000000" w:themeColor="text1"/>
          <w:lang w:val="en-US"/>
        </w:rPr>
      </w:pPr>
      <w:r w:rsidRPr="009C238A">
        <w:rPr>
          <w:color w:val="000000" w:themeColor="text1"/>
          <w:lang w:val="en-US"/>
        </w:rPr>
        <w:t>affordable.</w:t>
      </w:r>
    </w:p>
    <w:p w:rsidR="009072DB" w:rsidRPr="009C238A" w:rsidRDefault="009072DB" w:rsidP="009072DB">
      <w:pPr>
        <w:pStyle w:val="NormaleWeb"/>
        <w:spacing w:before="120" w:beforeAutospacing="0" w:after="60" w:afterAutospacing="0"/>
        <w:jc w:val="both"/>
        <w:rPr>
          <w:color w:val="000000" w:themeColor="text1"/>
          <w:lang w:val="en-US"/>
        </w:rPr>
      </w:pPr>
      <w:r w:rsidRPr="009C238A">
        <w:rPr>
          <w:color w:val="000000" w:themeColor="text1"/>
          <w:lang w:val="en-US"/>
        </w:rPr>
        <w:t xml:space="preserve">The fruits of its current success and its future growth lie in the Group’s dedication to constantly improve the quality of its products and develop menus addressed to laboratories. </w:t>
      </w:r>
    </w:p>
    <w:p w:rsidR="009072DB" w:rsidRPr="009C238A" w:rsidRDefault="009072DB" w:rsidP="009072DB">
      <w:pPr>
        <w:pStyle w:val="NormaleWeb"/>
        <w:spacing w:before="120" w:beforeAutospacing="0" w:after="60" w:afterAutospacing="0"/>
        <w:jc w:val="both"/>
        <w:rPr>
          <w:color w:val="000000" w:themeColor="text1"/>
          <w:lang w:val="en-US"/>
        </w:rPr>
      </w:pPr>
    </w:p>
    <w:p w:rsidR="009072DB" w:rsidRPr="009C238A" w:rsidRDefault="009072DB" w:rsidP="009072DB">
      <w:pPr>
        <w:autoSpaceDE w:val="0"/>
        <w:autoSpaceDN w:val="0"/>
        <w:adjustRightInd w:val="0"/>
        <w:spacing w:before="100" w:after="100" w:line="280" w:lineRule="exact"/>
        <w:jc w:val="both"/>
        <w:rPr>
          <w:color w:val="000000" w:themeColor="text1"/>
          <w:lang w:val="en-US" w:eastAsia="en-GB"/>
        </w:rPr>
      </w:pPr>
      <w:r w:rsidRPr="009C238A">
        <w:rPr>
          <w:color w:val="000000" w:themeColor="text1"/>
          <w:lang w:val="en-US" w:eastAsia="en-GB"/>
        </w:rPr>
        <w:t xml:space="preserve">Diasorin internally manages the primary processes involved in the research, production, distribution and commercial aspects, that is, the process that, starting with the development of new products, leads to the marketing of those products. </w:t>
      </w:r>
    </w:p>
    <w:p w:rsidR="009072DB" w:rsidRPr="009C238A" w:rsidRDefault="009072DB" w:rsidP="009072DB">
      <w:pPr>
        <w:autoSpaceDE w:val="0"/>
        <w:autoSpaceDN w:val="0"/>
        <w:adjustRightInd w:val="0"/>
        <w:spacing w:before="100" w:after="100" w:line="280" w:lineRule="exact"/>
        <w:jc w:val="both"/>
        <w:rPr>
          <w:color w:val="000000" w:themeColor="text1"/>
          <w:lang w:val="en-US" w:eastAsia="en-GB"/>
        </w:rPr>
      </w:pPr>
      <w:r w:rsidRPr="009C238A">
        <w:rPr>
          <w:color w:val="000000" w:themeColor="text1"/>
          <w:lang w:val="en-US" w:eastAsia="en-GB"/>
        </w:rPr>
        <w:t>The Group’s manufacturing organization consists of several facilities located in Europe, USA and South Africa.</w:t>
      </w:r>
    </w:p>
    <w:p w:rsidR="009072DB" w:rsidRPr="009C238A" w:rsidRDefault="009072DB" w:rsidP="009072DB">
      <w:pPr>
        <w:autoSpaceDE w:val="0"/>
        <w:autoSpaceDN w:val="0"/>
        <w:adjustRightInd w:val="0"/>
        <w:spacing w:before="100" w:after="100" w:line="280" w:lineRule="exact"/>
        <w:jc w:val="both"/>
        <w:rPr>
          <w:color w:val="000000" w:themeColor="text1"/>
          <w:lang w:val="en-US" w:eastAsia="en-GB"/>
        </w:rPr>
      </w:pPr>
    </w:p>
    <w:tbl>
      <w:tblPr>
        <w:tblW w:w="0" w:type="auto"/>
        <w:tblLook w:val="04A0"/>
      </w:tblPr>
      <w:tblGrid>
        <w:gridCol w:w="2191"/>
        <w:gridCol w:w="1604"/>
        <w:gridCol w:w="6060"/>
      </w:tblGrid>
      <w:tr w:rsidR="009072DB" w:rsidRPr="00923B29" w:rsidTr="009072DB">
        <w:tc>
          <w:tcPr>
            <w:tcW w:w="2191" w:type="dxa"/>
          </w:tcPr>
          <w:p w:rsidR="009072DB" w:rsidRPr="009C238A" w:rsidRDefault="009072DB" w:rsidP="00F3117E">
            <w:pPr>
              <w:autoSpaceDE w:val="0"/>
              <w:autoSpaceDN w:val="0"/>
              <w:adjustRightInd w:val="0"/>
              <w:spacing w:before="100"/>
              <w:ind w:left="426"/>
              <w:jc w:val="both"/>
              <w:outlineLvl w:val="8"/>
              <w:rPr>
                <w:color w:val="000000" w:themeColor="text1"/>
                <w:lang w:val="en-US" w:eastAsia="en-GB"/>
              </w:rPr>
            </w:pPr>
            <w:r w:rsidRPr="009C238A">
              <w:rPr>
                <w:b/>
                <w:color w:val="000000" w:themeColor="text1"/>
                <w:lang w:val="en-US" w:eastAsia="en-GB"/>
              </w:rPr>
              <w:t>Saluggia</w:t>
            </w:r>
          </w:p>
        </w:tc>
        <w:tc>
          <w:tcPr>
            <w:tcW w:w="1604" w:type="dxa"/>
          </w:tcPr>
          <w:p w:rsidR="009072DB" w:rsidRPr="009C238A" w:rsidRDefault="00F3117E" w:rsidP="00F3117E">
            <w:pPr>
              <w:autoSpaceDE w:val="0"/>
              <w:autoSpaceDN w:val="0"/>
              <w:adjustRightInd w:val="0"/>
              <w:spacing w:before="100"/>
              <w:jc w:val="both"/>
              <w:outlineLvl w:val="8"/>
              <w:rPr>
                <w:color w:val="000000" w:themeColor="text1"/>
                <w:lang w:val="en-US" w:eastAsia="en-GB"/>
              </w:rPr>
            </w:pPr>
            <w:r>
              <w:rPr>
                <w:color w:val="000000" w:themeColor="text1"/>
                <w:lang w:val="en-US" w:eastAsia="en-GB"/>
              </w:rPr>
              <w:t xml:space="preserve">  </w:t>
            </w:r>
            <w:r w:rsidR="009072DB" w:rsidRPr="009C238A">
              <w:rPr>
                <w:color w:val="000000" w:themeColor="text1"/>
                <w:lang w:val="en-US" w:eastAsia="en-GB"/>
              </w:rPr>
              <w:t>Italy</w:t>
            </w:r>
          </w:p>
        </w:tc>
        <w:tc>
          <w:tcPr>
            <w:tcW w:w="6060" w:type="dxa"/>
          </w:tcPr>
          <w:p w:rsidR="009072DB" w:rsidRPr="009C238A" w:rsidRDefault="009072DB" w:rsidP="00F3117E">
            <w:pPr>
              <w:autoSpaceDE w:val="0"/>
              <w:autoSpaceDN w:val="0"/>
              <w:adjustRightInd w:val="0"/>
              <w:spacing w:before="100"/>
              <w:jc w:val="both"/>
              <w:outlineLvl w:val="8"/>
              <w:rPr>
                <w:color w:val="000000" w:themeColor="text1"/>
                <w:lang w:val="en-US" w:eastAsia="en-GB"/>
              </w:rPr>
            </w:pPr>
            <w:r w:rsidRPr="009C238A">
              <w:rPr>
                <w:color w:val="000000" w:themeColor="text1"/>
                <w:lang w:val="en-US" w:eastAsia="en-GB"/>
              </w:rPr>
              <w:t>At the Group’s Parent Company’s headquarters</w:t>
            </w:r>
          </w:p>
        </w:tc>
      </w:tr>
      <w:tr w:rsidR="009072DB" w:rsidRPr="00923B29" w:rsidTr="009072DB">
        <w:trPr>
          <w:trHeight w:val="225"/>
        </w:trPr>
        <w:tc>
          <w:tcPr>
            <w:tcW w:w="2191" w:type="dxa"/>
          </w:tcPr>
          <w:p w:rsidR="009072DB" w:rsidRPr="009C238A" w:rsidRDefault="009072DB" w:rsidP="00F3117E">
            <w:pPr>
              <w:autoSpaceDE w:val="0"/>
              <w:autoSpaceDN w:val="0"/>
              <w:adjustRightInd w:val="0"/>
              <w:spacing w:before="100"/>
              <w:ind w:left="426"/>
              <w:jc w:val="both"/>
              <w:outlineLvl w:val="8"/>
              <w:rPr>
                <w:color w:val="000000" w:themeColor="text1"/>
                <w:lang w:val="en-US" w:eastAsia="en-GB"/>
              </w:rPr>
            </w:pPr>
            <w:r w:rsidRPr="009C238A">
              <w:rPr>
                <w:b/>
                <w:color w:val="000000" w:themeColor="text1"/>
                <w:lang w:val="en-US" w:eastAsia="en-GB"/>
              </w:rPr>
              <w:t>Stillwater</w:t>
            </w:r>
          </w:p>
        </w:tc>
        <w:tc>
          <w:tcPr>
            <w:tcW w:w="1604" w:type="dxa"/>
          </w:tcPr>
          <w:p w:rsidR="009072DB" w:rsidRPr="009C238A" w:rsidRDefault="00F3117E" w:rsidP="00F3117E">
            <w:pPr>
              <w:autoSpaceDE w:val="0"/>
              <w:autoSpaceDN w:val="0"/>
              <w:adjustRightInd w:val="0"/>
              <w:spacing w:before="100"/>
              <w:jc w:val="both"/>
              <w:outlineLvl w:val="8"/>
              <w:rPr>
                <w:color w:val="000000" w:themeColor="text1"/>
                <w:lang w:val="en-US" w:eastAsia="en-GB"/>
              </w:rPr>
            </w:pPr>
            <w:r>
              <w:rPr>
                <w:color w:val="000000" w:themeColor="text1"/>
                <w:lang w:val="en-US" w:eastAsia="en-GB"/>
              </w:rPr>
              <w:t xml:space="preserve">  </w:t>
            </w:r>
            <w:r w:rsidR="009072DB" w:rsidRPr="009C238A">
              <w:rPr>
                <w:color w:val="000000" w:themeColor="text1"/>
                <w:lang w:val="en-US" w:eastAsia="en-GB"/>
              </w:rPr>
              <w:t>USA</w:t>
            </w:r>
          </w:p>
        </w:tc>
        <w:tc>
          <w:tcPr>
            <w:tcW w:w="6060" w:type="dxa"/>
          </w:tcPr>
          <w:p w:rsidR="009072DB" w:rsidRPr="009C238A" w:rsidRDefault="009072DB" w:rsidP="00F3117E">
            <w:pPr>
              <w:autoSpaceDE w:val="0"/>
              <w:autoSpaceDN w:val="0"/>
              <w:adjustRightInd w:val="0"/>
              <w:spacing w:before="100"/>
              <w:jc w:val="both"/>
              <w:outlineLvl w:val="8"/>
              <w:rPr>
                <w:color w:val="000000" w:themeColor="text1"/>
                <w:lang w:val="en-US" w:eastAsia="en-GB"/>
              </w:rPr>
            </w:pPr>
            <w:r w:rsidRPr="009C238A">
              <w:rPr>
                <w:color w:val="000000" w:themeColor="text1"/>
                <w:lang w:val="en-US" w:eastAsia="en-GB"/>
              </w:rPr>
              <w:t>At the headquarters of Diasorin Inc.</w:t>
            </w:r>
          </w:p>
        </w:tc>
      </w:tr>
      <w:tr w:rsidR="009072DB" w:rsidRPr="00923B29" w:rsidTr="009072DB">
        <w:tc>
          <w:tcPr>
            <w:tcW w:w="2191" w:type="dxa"/>
          </w:tcPr>
          <w:p w:rsidR="009072DB" w:rsidRPr="009C238A" w:rsidRDefault="009072DB" w:rsidP="00F3117E">
            <w:pPr>
              <w:autoSpaceDE w:val="0"/>
              <w:autoSpaceDN w:val="0"/>
              <w:adjustRightInd w:val="0"/>
              <w:spacing w:before="100"/>
              <w:ind w:left="426"/>
              <w:jc w:val="both"/>
              <w:outlineLvl w:val="8"/>
              <w:rPr>
                <w:color w:val="000000" w:themeColor="text1"/>
                <w:lang w:val="en-US" w:eastAsia="en-GB"/>
              </w:rPr>
            </w:pPr>
            <w:r w:rsidRPr="009C238A">
              <w:rPr>
                <w:b/>
                <w:color w:val="000000" w:themeColor="text1"/>
                <w:lang w:val="en-US" w:eastAsia="en-GB"/>
              </w:rPr>
              <w:t>Dietzenbach</w:t>
            </w:r>
          </w:p>
        </w:tc>
        <w:tc>
          <w:tcPr>
            <w:tcW w:w="1604" w:type="dxa"/>
          </w:tcPr>
          <w:p w:rsidR="009072DB" w:rsidRPr="009C238A" w:rsidRDefault="00F3117E" w:rsidP="00F3117E">
            <w:pPr>
              <w:autoSpaceDE w:val="0"/>
              <w:autoSpaceDN w:val="0"/>
              <w:adjustRightInd w:val="0"/>
              <w:spacing w:before="100"/>
              <w:jc w:val="both"/>
              <w:outlineLvl w:val="3"/>
              <w:rPr>
                <w:color w:val="000000" w:themeColor="text1"/>
                <w:lang w:val="en-US" w:eastAsia="en-GB"/>
              </w:rPr>
            </w:pPr>
            <w:r>
              <w:rPr>
                <w:color w:val="000000" w:themeColor="text1"/>
                <w:lang w:val="en-US" w:eastAsia="en-GB"/>
              </w:rPr>
              <w:t xml:space="preserve">  </w:t>
            </w:r>
            <w:r w:rsidR="009072DB" w:rsidRPr="009C238A">
              <w:rPr>
                <w:color w:val="000000" w:themeColor="text1"/>
                <w:lang w:val="en-US" w:eastAsia="en-GB"/>
              </w:rPr>
              <w:t>Germany</w:t>
            </w:r>
          </w:p>
        </w:tc>
        <w:tc>
          <w:tcPr>
            <w:tcW w:w="6060" w:type="dxa"/>
          </w:tcPr>
          <w:p w:rsidR="009072DB" w:rsidRPr="009C238A" w:rsidRDefault="009072DB" w:rsidP="00F3117E">
            <w:pPr>
              <w:autoSpaceDE w:val="0"/>
              <w:autoSpaceDN w:val="0"/>
              <w:adjustRightInd w:val="0"/>
              <w:spacing w:before="100"/>
              <w:jc w:val="both"/>
              <w:outlineLvl w:val="8"/>
              <w:rPr>
                <w:color w:val="000000" w:themeColor="text1"/>
                <w:lang w:val="en-US" w:eastAsia="en-GB"/>
              </w:rPr>
            </w:pPr>
            <w:r w:rsidRPr="009C238A">
              <w:rPr>
                <w:color w:val="000000" w:themeColor="text1"/>
                <w:lang w:val="en-US" w:eastAsia="en-GB"/>
              </w:rPr>
              <w:t>At the headquarters of Diasorin Deutschland GmbH</w:t>
            </w:r>
          </w:p>
        </w:tc>
      </w:tr>
      <w:tr w:rsidR="009072DB" w:rsidRPr="00923B29" w:rsidTr="009072DB">
        <w:tc>
          <w:tcPr>
            <w:tcW w:w="2191" w:type="dxa"/>
          </w:tcPr>
          <w:p w:rsidR="009072DB" w:rsidRPr="009C238A" w:rsidRDefault="009072DB" w:rsidP="00F3117E">
            <w:pPr>
              <w:autoSpaceDE w:val="0"/>
              <w:autoSpaceDN w:val="0"/>
              <w:adjustRightInd w:val="0"/>
              <w:spacing w:before="100"/>
              <w:ind w:left="426"/>
              <w:jc w:val="both"/>
              <w:outlineLvl w:val="8"/>
              <w:rPr>
                <w:color w:val="000000" w:themeColor="text1"/>
                <w:lang w:val="en-US" w:eastAsia="en-GB"/>
              </w:rPr>
            </w:pPr>
            <w:r w:rsidRPr="009C238A">
              <w:rPr>
                <w:b/>
                <w:color w:val="000000" w:themeColor="text1"/>
                <w:lang w:val="en-US" w:eastAsia="en-GB"/>
              </w:rPr>
              <w:t>Dublin</w:t>
            </w:r>
          </w:p>
        </w:tc>
        <w:tc>
          <w:tcPr>
            <w:tcW w:w="1604" w:type="dxa"/>
          </w:tcPr>
          <w:p w:rsidR="009072DB" w:rsidRPr="009C238A" w:rsidRDefault="00F3117E" w:rsidP="00F3117E">
            <w:pPr>
              <w:autoSpaceDE w:val="0"/>
              <w:autoSpaceDN w:val="0"/>
              <w:adjustRightInd w:val="0"/>
              <w:spacing w:before="100"/>
              <w:jc w:val="both"/>
              <w:outlineLvl w:val="8"/>
              <w:rPr>
                <w:color w:val="000000" w:themeColor="text1"/>
                <w:lang w:val="en-US" w:eastAsia="en-GB"/>
              </w:rPr>
            </w:pPr>
            <w:r>
              <w:rPr>
                <w:color w:val="000000" w:themeColor="text1"/>
                <w:lang w:val="en-US" w:eastAsia="en-GB"/>
              </w:rPr>
              <w:t xml:space="preserve">  </w:t>
            </w:r>
            <w:r w:rsidR="009072DB" w:rsidRPr="009C238A">
              <w:rPr>
                <w:color w:val="000000" w:themeColor="text1"/>
                <w:lang w:val="en-US" w:eastAsia="en-GB"/>
              </w:rPr>
              <w:t>Ireland</w:t>
            </w:r>
          </w:p>
        </w:tc>
        <w:tc>
          <w:tcPr>
            <w:tcW w:w="6060" w:type="dxa"/>
          </w:tcPr>
          <w:p w:rsidR="009072DB" w:rsidRPr="009C238A" w:rsidRDefault="009072DB" w:rsidP="00F3117E">
            <w:pPr>
              <w:autoSpaceDE w:val="0"/>
              <w:autoSpaceDN w:val="0"/>
              <w:adjustRightInd w:val="0"/>
              <w:spacing w:before="100"/>
              <w:jc w:val="both"/>
              <w:outlineLvl w:val="8"/>
              <w:rPr>
                <w:color w:val="000000" w:themeColor="text1"/>
                <w:lang w:val="en-US" w:eastAsia="en-GB"/>
              </w:rPr>
            </w:pPr>
            <w:r w:rsidRPr="009C238A">
              <w:rPr>
                <w:color w:val="000000" w:themeColor="text1"/>
                <w:lang w:val="en-US" w:eastAsia="en-GB"/>
              </w:rPr>
              <w:t>At the headquarters of Diasorin Ireland Ltd</w:t>
            </w:r>
          </w:p>
        </w:tc>
      </w:tr>
      <w:tr w:rsidR="009072DB" w:rsidRPr="00923B29" w:rsidTr="009072DB">
        <w:tc>
          <w:tcPr>
            <w:tcW w:w="2191" w:type="dxa"/>
          </w:tcPr>
          <w:p w:rsidR="009072DB" w:rsidRPr="009C238A" w:rsidRDefault="009072DB" w:rsidP="00F3117E">
            <w:pPr>
              <w:autoSpaceDE w:val="0"/>
              <w:autoSpaceDN w:val="0"/>
              <w:adjustRightInd w:val="0"/>
              <w:spacing w:before="100"/>
              <w:ind w:left="426"/>
              <w:jc w:val="both"/>
              <w:outlineLvl w:val="8"/>
              <w:rPr>
                <w:color w:val="000000" w:themeColor="text1"/>
                <w:lang w:val="en-US" w:eastAsia="en-GB"/>
              </w:rPr>
            </w:pPr>
            <w:r w:rsidRPr="009C238A">
              <w:rPr>
                <w:b/>
                <w:color w:val="000000" w:themeColor="text1"/>
                <w:lang w:val="en-US" w:eastAsia="en-GB"/>
              </w:rPr>
              <w:t>Dartford</w:t>
            </w:r>
          </w:p>
        </w:tc>
        <w:tc>
          <w:tcPr>
            <w:tcW w:w="1604" w:type="dxa"/>
          </w:tcPr>
          <w:p w:rsidR="009072DB" w:rsidRPr="009C238A" w:rsidRDefault="00F3117E" w:rsidP="00F3117E">
            <w:pPr>
              <w:autoSpaceDE w:val="0"/>
              <w:autoSpaceDN w:val="0"/>
              <w:adjustRightInd w:val="0"/>
              <w:spacing w:before="100"/>
              <w:jc w:val="both"/>
              <w:outlineLvl w:val="8"/>
              <w:rPr>
                <w:color w:val="000000" w:themeColor="text1"/>
                <w:lang w:val="en-US" w:eastAsia="en-GB"/>
              </w:rPr>
            </w:pPr>
            <w:r>
              <w:rPr>
                <w:color w:val="000000" w:themeColor="text1"/>
                <w:lang w:val="en-US" w:eastAsia="en-GB"/>
              </w:rPr>
              <w:t xml:space="preserve">  </w:t>
            </w:r>
            <w:r w:rsidR="009072DB" w:rsidRPr="009C238A">
              <w:rPr>
                <w:color w:val="000000" w:themeColor="text1"/>
                <w:lang w:val="en-US" w:eastAsia="en-GB"/>
              </w:rPr>
              <w:t>UK</w:t>
            </w:r>
          </w:p>
        </w:tc>
        <w:tc>
          <w:tcPr>
            <w:tcW w:w="6060" w:type="dxa"/>
          </w:tcPr>
          <w:p w:rsidR="009072DB" w:rsidRPr="009C238A" w:rsidRDefault="009072DB" w:rsidP="00F3117E">
            <w:pPr>
              <w:autoSpaceDE w:val="0"/>
              <w:autoSpaceDN w:val="0"/>
              <w:adjustRightInd w:val="0"/>
              <w:spacing w:before="100"/>
              <w:jc w:val="both"/>
              <w:outlineLvl w:val="8"/>
              <w:rPr>
                <w:color w:val="000000" w:themeColor="text1"/>
                <w:lang w:val="en-US" w:eastAsia="en-GB"/>
              </w:rPr>
            </w:pPr>
            <w:r w:rsidRPr="009C238A">
              <w:rPr>
                <w:color w:val="000000" w:themeColor="text1"/>
                <w:lang w:val="en-US" w:eastAsia="en-GB"/>
              </w:rPr>
              <w:t>At the headquarters of Diasorin S.p.A-UK Branch</w:t>
            </w:r>
          </w:p>
        </w:tc>
      </w:tr>
      <w:tr w:rsidR="009072DB" w:rsidRPr="00923B29" w:rsidTr="009072DB">
        <w:tc>
          <w:tcPr>
            <w:tcW w:w="2191" w:type="dxa"/>
          </w:tcPr>
          <w:p w:rsidR="009072DB" w:rsidRPr="009C238A" w:rsidRDefault="009072DB" w:rsidP="00F3117E">
            <w:pPr>
              <w:autoSpaceDE w:val="0"/>
              <w:autoSpaceDN w:val="0"/>
              <w:adjustRightInd w:val="0"/>
              <w:spacing w:before="100"/>
              <w:ind w:left="426"/>
              <w:jc w:val="both"/>
              <w:outlineLvl w:val="8"/>
              <w:rPr>
                <w:color w:val="000000" w:themeColor="text1"/>
                <w:lang w:val="en-US" w:eastAsia="en-GB"/>
              </w:rPr>
            </w:pPr>
            <w:r w:rsidRPr="009C238A">
              <w:rPr>
                <w:b/>
                <w:color w:val="000000" w:themeColor="text1"/>
                <w:lang w:val="en-US" w:eastAsia="en-GB"/>
              </w:rPr>
              <w:t>Kyalami</w:t>
            </w:r>
          </w:p>
        </w:tc>
        <w:tc>
          <w:tcPr>
            <w:tcW w:w="1604" w:type="dxa"/>
          </w:tcPr>
          <w:p w:rsidR="009072DB" w:rsidRPr="009C238A" w:rsidRDefault="00F3117E" w:rsidP="00F3117E">
            <w:pPr>
              <w:autoSpaceDE w:val="0"/>
              <w:autoSpaceDN w:val="0"/>
              <w:adjustRightInd w:val="0"/>
              <w:spacing w:before="100"/>
              <w:jc w:val="both"/>
              <w:outlineLvl w:val="8"/>
              <w:rPr>
                <w:color w:val="000000" w:themeColor="text1"/>
                <w:lang w:val="en-US" w:eastAsia="en-GB"/>
              </w:rPr>
            </w:pPr>
            <w:r>
              <w:rPr>
                <w:color w:val="000000" w:themeColor="text1"/>
                <w:lang w:val="en-US" w:eastAsia="en-GB"/>
              </w:rPr>
              <w:t xml:space="preserve">  </w:t>
            </w:r>
            <w:r w:rsidR="009072DB" w:rsidRPr="009C238A">
              <w:rPr>
                <w:color w:val="000000" w:themeColor="text1"/>
                <w:lang w:val="en-US" w:eastAsia="en-GB"/>
              </w:rPr>
              <w:t>South Africa</w:t>
            </w:r>
          </w:p>
        </w:tc>
        <w:tc>
          <w:tcPr>
            <w:tcW w:w="6060" w:type="dxa"/>
          </w:tcPr>
          <w:p w:rsidR="009072DB" w:rsidRDefault="009072DB" w:rsidP="00F3117E">
            <w:pPr>
              <w:autoSpaceDE w:val="0"/>
              <w:autoSpaceDN w:val="0"/>
              <w:adjustRightInd w:val="0"/>
              <w:spacing w:before="100"/>
              <w:jc w:val="both"/>
              <w:outlineLvl w:val="8"/>
              <w:rPr>
                <w:color w:val="000000" w:themeColor="text1"/>
                <w:lang w:val="en-US" w:eastAsia="en-GB"/>
              </w:rPr>
            </w:pPr>
            <w:r w:rsidRPr="009C238A">
              <w:rPr>
                <w:color w:val="000000" w:themeColor="text1"/>
                <w:lang w:val="en-US" w:eastAsia="en-GB"/>
              </w:rPr>
              <w:t>At the headquarters of Diasorin South Africa (Pty) Ltd</w:t>
            </w:r>
          </w:p>
          <w:p w:rsidR="00F3117E" w:rsidRPr="009C238A" w:rsidRDefault="00F3117E" w:rsidP="00F3117E">
            <w:pPr>
              <w:autoSpaceDE w:val="0"/>
              <w:autoSpaceDN w:val="0"/>
              <w:adjustRightInd w:val="0"/>
              <w:spacing w:before="100"/>
              <w:jc w:val="both"/>
              <w:outlineLvl w:val="8"/>
              <w:rPr>
                <w:color w:val="000000" w:themeColor="text1"/>
                <w:lang w:val="en-US" w:eastAsia="en-GB"/>
              </w:rPr>
            </w:pPr>
          </w:p>
        </w:tc>
      </w:tr>
    </w:tbl>
    <w:p w:rsidR="00902174" w:rsidRDefault="00902174" w:rsidP="009072DB">
      <w:pPr>
        <w:widowControl w:val="0"/>
        <w:autoSpaceDE w:val="0"/>
        <w:autoSpaceDN w:val="0"/>
        <w:adjustRightInd w:val="0"/>
        <w:jc w:val="both"/>
        <w:rPr>
          <w:color w:val="000000" w:themeColor="text1"/>
          <w:szCs w:val="23"/>
          <w:lang w:val="en-US"/>
        </w:rPr>
      </w:pPr>
    </w:p>
    <w:p w:rsidR="009072DB" w:rsidRPr="009C238A" w:rsidRDefault="009072DB" w:rsidP="009072DB">
      <w:pPr>
        <w:widowControl w:val="0"/>
        <w:autoSpaceDE w:val="0"/>
        <w:autoSpaceDN w:val="0"/>
        <w:adjustRightInd w:val="0"/>
        <w:jc w:val="both"/>
        <w:rPr>
          <w:color w:val="000000" w:themeColor="text1"/>
          <w:szCs w:val="23"/>
          <w:lang w:val="en-US"/>
        </w:rPr>
      </w:pPr>
      <w:r w:rsidRPr="009C238A">
        <w:rPr>
          <w:color w:val="000000" w:themeColor="text1"/>
          <w:szCs w:val="23"/>
          <w:lang w:val="en-US"/>
        </w:rPr>
        <w:lastRenderedPageBreak/>
        <w:t xml:space="preserve">The Group headed by Diasorin S.p.A. is comprised of </w:t>
      </w:r>
      <w:r w:rsidRPr="009C238A">
        <w:rPr>
          <w:b/>
          <w:color w:val="000000" w:themeColor="text1"/>
          <w:szCs w:val="23"/>
          <w:lang w:val="en-US"/>
        </w:rPr>
        <w:t xml:space="preserve">24 companies </w:t>
      </w:r>
      <w:r w:rsidRPr="009C238A">
        <w:rPr>
          <w:color w:val="000000" w:themeColor="text1"/>
          <w:szCs w:val="23"/>
          <w:lang w:val="en-US"/>
        </w:rPr>
        <w:t>and</w:t>
      </w:r>
      <w:r w:rsidRPr="009C238A">
        <w:rPr>
          <w:b/>
          <w:color w:val="000000" w:themeColor="text1"/>
          <w:szCs w:val="23"/>
          <w:lang w:val="en-US"/>
        </w:rPr>
        <w:t xml:space="preserve"> 5 branches </w:t>
      </w:r>
      <w:r w:rsidR="00417EA1">
        <w:rPr>
          <w:color w:val="000000" w:themeColor="text1"/>
          <w:szCs w:val="23"/>
          <w:lang w:val="en-US"/>
        </w:rPr>
        <w:t>in</w:t>
      </w:r>
      <w:r w:rsidRPr="009C238A">
        <w:rPr>
          <w:b/>
          <w:color w:val="000000" w:themeColor="text1"/>
          <w:szCs w:val="23"/>
          <w:lang w:val="en-US"/>
        </w:rPr>
        <w:t xml:space="preserve"> 5 continents</w:t>
      </w:r>
      <w:r w:rsidRPr="009C238A">
        <w:rPr>
          <w:color w:val="000000" w:themeColor="text1"/>
          <w:szCs w:val="23"/>
          <w:lang w:val="en-US"/>
        </w:rPr>
        <w:t xml:space="preserve">. </w:t>
      </w:r>
    </w:p>
    <w:p w:rsidR="009072DB" w:rsidRPr="009C238A" w:rsidRDefault="009072DB" w:rsidP="009072DB">
      <w:pPr>
        <w:widowControl w:val="0"/>
        <w:autoSpaceDE w:val="0"/>
        <w:autoSpaceDN w:val="0"/>
        <w:adjustRightInd w:val="0"/>
        <w:jc w:val="both"/>
        <w:rPr>
          <w:color w:val="000000" w:themeColor="text1"/>
          <w:szCs w:val="23"/>
          <w:lang w:val="en-US"/>
        </w:rPr>
      </w:pPr>
    </w:p>
    <w:p w:rsidR="009072DB" w:rsidRPr="009C238A" w:rsidRDefault="009072DB" w:rsidP="009072DB">
      <w:pPr>
        <w:pStyle w:val="Nessunaspaziatura"/>
        <w:jc w:val="both"/>
        <w:rPr>
          <w:color w:val="000000" w:themeColor="text1"/>
          <w:szCs w:val="23"/>
          <w:lang w:val="en-US"/>
        </w:rPr>
      </w:pPr>
      <w:r w:rsidRPr="009C238A">
        <w:rPr>
          <w:color w:val="000000" w:themeColor="text1"/>
          <w:szCs w:val="23"/>
          <w:lang w:val="en-US"/>
        </w:rPr>
        <w:t>In Europe, United States, Mexico, Brazil, China, Australia and Israel, the Diasorin Group sells its products mainly through its marketing companies that are part of the Diasorin Group.</w:t>
      </w:r>
    </w:p>
    <w:p w:rsidR="009072DB" w:rsidRPr="009C238A" w:rsidRDefault="009072DB" w:rsidP="009072DB">
      <w:pPr>
        <w:pStyle w:val="Nessunaspaziatura"/>
        <w:jc w:val="both"/>
        <w:rPr>
          <w:color w:val="000000" w:themeColor="text1"/>
          <w:sz w:val="28"/>
          <w:lang w:val="en-US"/>
        </w:rPr>
      </w:pPr>
      <w:r w:rsidRPr="009C238A">
        <w:rPr>
          <w:color w:val="000000" w:themeColor="text1"/>
          <w:szCs w:val="23"/>
          <w:lang w:val="en-US"/>
        </w:rPr>
        <w:t>In countries where the Group does not have a direct presence, it operates through an international network of more than 80 independent distributors.</w:t>
      </w:r>
    </w:p>
    <w:p w:rsidR="009072DB" w:rsidRPr="009C238A" w:rsidRDefault="009072DB" w:rsidP="009072DB">
      <w:pPr>
        <w:autoSpaceDE w:val="0"/>
        <w:autoSpaceDN w:val="0"/>
        <w:adjustRightInd w:val="0"/>
        <w:ind w:left="360"/>
        <w:jc w:val="both"/>
        <w:rPr>
          <w:lang w:val="en-US" w:eastAsia="en-GB"/>
        </w:rPr>
      </w:pPr>
    </w:p>
    <w:p w:rsidR="009072DB" w:rsidRPr="009C238A" w:rsidRDefault="00923B29" w:rsidP="009072DB">
      <w:pPr>
        <w:autoSpaceDE w:val="0"/>
        <w:autoSpaceDN w:val="0"/>
        <w:adjustRightInd w:val="0"/>
        <w:jc w:val="both"/>
        <w:rPr>
          <w:lang w:val="en-US" w:eastAsia="en-GB"/>
        </w:rPr>
      </w:pPr>
      <w:r>
        <w:rPr>
          <w:noProof/>
          <w:lang w:val="en-US" w:eastAsia="en-US"/>
        </w:rPr>
        <w:drawing>
          <wp:inline distT="0" distB="0" distL="0" distR="0">
            <wp:extent cx="6120765" cy="432879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 inglese 41113.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4328795"/>
                    </a:xfrm>
                    <a:prstGeom prst="rect">
                      <a:avLst/>
                    </a:prstGeom>
                  </pic:spPr>
                </pic:pic>
              </a:graphicData>
            </a:graphic>
          </wp:inline>
        </w:drawing>
      </w:r>
    </w:p>
    <w:p w:rsidR="009072DB" w:rsidRPr="009C238A" w:rsidRDefault="009072DB" w:rsidP="009072DB">
      <w:pPr>
        <w:autoSpaceDE w:val="0"/>
        <w:autoSpaceDN w:val="0"/>
        <w:adjustRightInd w:val="0"/>
        <w:jc w:val="both"/>
        <w:rPr>
          <w:lang w:val="en-US" w:eastAsia="en-GB"/>
        </w:rPr>
      </w:pPr>
    </w:p>
    <w:p w:rsidR="00DB0617" w:rsidRDefault="00DB0617" w:rsidP="00494DE0">
      <w:pPr>
        <w:pStyle w:val="Titolo1"/>
        <w:rPr>
          <w:smallCaps/>
        </w:rPr>
      </w:pPr>
      <w:bookmarkStart w:id="7" w:name="_Toc244852780"/>
    </w:p>
    <w:p w:rsidR="00DB0617" w:rsidRDefault="00DB0617" w:rsidP="00494DE0">
      <w:pPr>
        <w:pStyle w:val="Titolo1"/>
        <w:rPr>
          <w:smallCaps/>
        </w:rPr>
      </w:pPr>
    </w:p>
    <w:p w:rsidR="00DB0617" w:rsidRDefault="00DB0617" w:rsidP="00494DE0">
      <w:pPr>
        <w:pStyle w:val="Titolo1"/>
        <w:rPr>
          <w:smallCaps/>
        </w:rPr>
      </w:pPr>
    </w:p>
    <w:p w:rsidR="00DB0617" w:rsidRDefault="00DB0617" w:rsidP="00494DE0">
      <w:pPr>
        <w:pStyle w:val="Titolo1"/>
        <w:rPr>
          <w:smallCaps/>
        </w:rPr>
      </w:pPr>
    </w:p>
    <w:p w:rsidR="00DB0617" w:rsidRDefault="00DB0617" w:rsidP="00494DE0">
      <w:pPr>
        <w:pStyle w:val="Titolo1"/>
        <w:rPr>
          <w:smallCaps/>
        </w:rPr>
      </w:pPr>
    </w:p>
    <w:p w:rsidR="00DB0617" w:rsidRDefault="00DB0617" w:rsidP="00494DE0">
      <w:pPr>
        <w:pStyle w:val="Titolo1"/>
        <w:rPr>
          <w:smallCaps/>
        </w:rPr>
      </w:pPr>
    </w:p>
    <w:p w:rsidR="00DB0617" w:rsidRDefault="00DB0617" w:rsidP="00494DE0">
      <w:pPr>
        <w:pStyle w:val="Titolo1"/>
        <w:rPr>
          <w:smallCaps/>
        </w:rPr>
      </w:pPr>
    </w:p>
    <w:p w:rsidR="00DB0617" w:rsidRDefault="00DB0617" w:rsidP="00494DE0">
      <w:pPr>
        <w:pStyle w:val="Titolo1"/>
        <w:rPr>
          <w:smallCaps/>
        </w:rPr>
      </w:pPr>
    </w:p>
    <w:p w:rsidR="00DB0617" w:rsidRDefault="00DB0617" w:rsidP="00494DE0">
      <w:pPr>
        <w:pStyle w:val="Titolo1"/>
        <w:rPr>
          <w:smallCaps/>
        </w:rPr>
      </w:pPr>
    </w:p>
    <w:p w:rsidR="009072DB" w:rsidRPr="00DB0617" w:rsidRDefault="009072DB" w:rsidP="00494DE0">
      <w:pPr>
        <w:pStyle w:val="Titolo1"/>
        <w:rPr>
          <w:smallCaps/>
        </w:rPr>
      </w:pPr>
      <w:bookmarkStart w:id="8" w:name="_Toc245837742"/>
      <w:r w:rsidRPr="00DB0617">
        <w:lastRenderedPageBreak/>
        <w:t>STRUCTURE OF THE DIASORIN GROUP AT SEPTEMBER 30, 2013</w:t>
      </w:r>
      <w:bookmarkEnd w:id="7"/>
      <w:bookmarkEnd w:id="8"/>
    </w:p>
    <w:p w:rsidR="009072DB" w:rsidRPr="009C238A" w:rsidRDefault="009072DB" w:rsidP="009072DB">
      <w:pPr>
        <w:outlineLvl w:val="0"/>
        <w:rPr>
          <w:b/>
          <w:bCs/>
          <w:smallCaps/>
          <w:sz w:val="28"/>
          <w:szCs w:val="28"/>
          <w:highlight w:val="yellow"/>
          <w:lang w:val="en-US"/>
        </w:rPr>
      </w:pPr>
    </w:p>
    <w:p w:rsidR="009072DB" w:rsidRPr="009C238A" w:rsidRDefault="009072DB" w:rsidP="009072DB">
      <w:pPr>
        <w:outlineLvl w:val="0"/>
        <w:rPr>
          <w:b/>
          <w:bCs/>
          <w:smallCaps/>
          <w:sz w:val="28"/>
          <w:szCs w:val="28"/>
          <w:highlight w:val="yellow"/>
          <w:lang w:val="en-US"/>
        </w:rPr>
      </w:pPr>
    </w:p>
    <w:p w:rsidR="009072DB" w:rsidRPr="009C238A" w:rsidRDefault="009072DB" w:rsidP="009072DB">
      <w:pPr>
        <w:rPr>
          <w:bCs/>
          <w:smallCaps/>
          <w:sz w:val="28"/>
          <w:szCs w:val="28"/>
          <w:lang w:val="en-US"/>
        </w:rPr>
      </w:pPr>
    </w:p>
    <w:p w:rsidR="009072DB" w:rsidRPr="009C238A" w:rsidRDefault="009072DB" w:rsidP="009072DB">
      <w:pPr>
        <w:rPr>
          <w:b/>
          <w:bCs/>
          <w:smallCaps/>
          <w:sz w:val="28"/>
          <w:szCs w:val="28"/>
          <w:highlight w:val="yellow"/>
          <w:lang w:val="en-US"/>
        </w:rPr>
        <w:sectPr w:rsidR="009072DB" w:rsidRPr="009C238A" w:rsidSect="009072DB">
          <w:headerReference w:type="even" r:id="rId9"/>
          <w:headerReference w:type="default" r:id="rId10"/>
          <w:footerReference w:type="even" r:id="rId11"/>
          <w:footerReference w:type="default" r:id="rId12"/>
          <w:headerReference w:type="first" r:id="rId13"/>
          <w:footerReference w:type="first" r:id="rId14"/>
          <w:pgSz w:w="11907" w:h="16840"/>
          <w:pgMar w:top="1302" w:right="1134" w:bottom="1134" w:left="1134" w:header="1247" w:footer="720" w:gutter="0"/>
          <w:paperSrc w:first="7" w:other="7"/>
          <w:cols w:space="567"/>
          <w:noEndnote/>
          <w:docGrid w:linePitch="326"/>
        </w:sectPr>
      </w:pPr>
      <w:r w:rsidRPr="009C238A">
        <w:rPr>
          <w:b/>
          <w:smallCaps/>
          <w:noProof/>
          <w:sz w:val="28"/>
          <w:szCs w:val="28"/>
          <w:lang w:val="en-US" w:eastAsia="en-US"/>
        </w:rPr>
        <w:drawing>
          <wp:inline distT="0" distB="0" distL="0" distR="0">
            <wp:extent cx="6106160" cy="4074160"/>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6160" cy="4074160"/>
                    </a:xfrm>
                    <a:prstGeom prst="rect">
                      <a:avLst/>
                    </a:prstGeom>
                    <a:noFill/>
                    <a:ln>
                      <a:noFill/>
                    </a:ln>
                  </pic:spPr>
                </pic:pic>
              </a:graphicData>
            </a:graphic>
          </wp:inline>
        </w:drawing>
      </w:r>
    </w:p>
    <w:p w:rsidR="009072DB" w:rsidRPr="00DB0617" w:rsidRDefault="00494DE0" w:rsidP="00494DE0">
      <w:pPr>
        <w:pStyle w:val="Titolo1"/>
      </w:pPr>
      <w:bookmarkStart w:id="9" w:name="_Toc245837743"/>
      <w:r w:rsidRPr="00DB0617">
        <w:lastRenderedPageBreak/>
        <w:t>CONSOLIDATED FINANCIAL HIGHLIGHTS</w:t>
      </w:r>
      <w:bookmarkEnd w:id="9"/>
    </w:p>
    <w:p w:rsidR="009072DB" w:rsidRPr="009C238A" w:rsidRDefault="009072DB" w:rsidP="009072DB">
      <w:pPr>
        <w:rPr>
          <w:b/>
          <w:bCs/>
          <w:smallCaps/>
          <w:sz w:val="28"/>
          <w:szCs w:val="28"/>
          <w:lang w:val="en-US"/>
        </w:rPr>
      </w:pPr>
    </w:p>
    <w:tbl>
      <w:tblPr>
        <w:tblW w:w="5000" w:type="pct"/>
        <w:tblCellMar>
          <w:left w:w="70" w:type="dxa"/>
          <w:right w:w="70" w:type="dxa"/>
        </w:tblCellMar>
        <w:tblLook w:val="00A0"/>
      </w:tblPr>
      <w:tblGrid>
        <w:gridCol w:w="4020"/>
        <w:gridCol w:w="1440"/>
        <w:gridCol w:w="1440"/>
        <w:gridCol w:w="1440"/>
        <w:gridCol w:w="1439"/>
      </w:tblGrid>
      <w:tr w:rsidR="009072DB" w:rsidRPr="009C238A" w:rsidTr="009072DB">
        <w:trPr>
          <w:trHeight w:val="495"/>
        </w:trPr>
        <w:tc>
          <w:tcPr>
            <w:tcW w:w="2055"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widowControl w:val="0"/>
              <w:autoSpaceDE w:val="0"/>
              <w:autoSpaceDN w:val="0"/>
              <w:adjustRightInd w:val="0"/>
              <w:jc w:val="both"/>
              <w:outlineLvl w:val="8"/>
              <w:rPr>
                <w:b/>
                <w:bCs/>
                <w:color w:val="000000"/>
                <w:sz w:val="20"/>
                <w:szCs w:val="20"/>
                <w:lang w:val="en-US"/>
              </w:rPr>
            </w:pPr>
            <w:r w:rsidRPr="009C238A">
              <w:rPr>
                <w:b/>
                <w:bCs/>
                <w:color w:val="000000"/>
                <w:sz w:val="20"/>
                <w:szCs w:val="20"/>
                <w:lang w:val="en-US"/>
              </w:rPr>
              <w:t xml:space="preserve">Income statement </w:t>
            </w:r>
          </w:p>
          <w:p w:rsidR="009072DB" w:rsidRPr="009C238A" w:rsidRDefault="009072DB" w:rsidP="009072DB">
            <w:pPr>
              <w:widowControl w:val="0"/>
              <w:autoSpaceDE w:val="0"/>
              <w:autoSpaceDN w:val="0"/>
              <w:adjustRightInd w:val="0"/>
              <w:jc w:val="both"/>
              <w:outlineLvl w:val="8"/>
              <w:rPr>
                <w:color w:val="000000"/>
                <w:sz w:val="16"/>
                <w:szCs w:val="16"/>
                <w:lang w:val="en-US"/>
              </w:rPr>
            </w:pPr>
            <w:r w:rsidRPr="009C238A">
              <w:rPr>
                <w:i/>
                <w:iCs/>
                <w:color w:val="000000"/>
                <w:sz w:val="16"/>
                <w:szCs w:val="16"/>
                <w:lang w:val="en-US"/>
              </w:rPr>
              <w:t xml:space="preserve">(in thousands of euros) </w:t>
            </w:r>
          </w:p>
          <w:p w:rsidR="009072DB" w:rsidRPr="009C238A" w:rsidRDefault="009072DB" w:rsidP="009072DB">
            <w:pPr>
              <w:rPr>
                <w:i/>
                <w:iCs/>
                <w:sz w:val="16"/>
                <w:szCs w:val="16"/>
                <w:lang w:val="en-US"/>
              </w:rPr>
            </w:pP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2174">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2013</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2174">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2012</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sz w:val="20"/>
                <w:szCs w:val="20"/>
                <w:lang w:val="en-US"/>
              </w:rPr>
            </w:pPr>
            <w:r w:rsidRPr="009C238A">
              <w:rPr>
                <w:b/>
                <w:bCs/>
                <w:sz w:val="20"/>
                <w:szCs w:val="20"/>
                <w:lang w:val="en-US"/>
              </w:rPr>
              <w:t xml:space="preserve">First nine months </w:t>
            </w:r>
            <w:r w:rsidRPr="009C238A">
              <w:rPr>
                <w:b/>
                <w:bCs/>
                <w:sz w:val="20"/>
                <w:szCs w:val="20"/>
                <w:lang w:val="en-US"/>
              </w:rPr>
              <w:br/>
              <w:t>2013</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sz w:val="20"/>
                <w:szCs w:val="20"/>
                <w:lang w:val="en-US"/>
              </w:rPr>
            </w:pPr>
            <w:r w:rsidRPr="009C238A">
              <w:rPr>
                <w:b/>
                <w:bCs/>
                <w:sz w:val="20"/>
                <w:szCs w:val="20"/>
                <w:lang w:val="en-US"/>
              </w:rPr>
              <w:t xml:space="preserve">First nine months </w:t>
            </w:r>
            <w:r w:rsidRPr="009C238A">
              <w:rPr>
                <w:b/>
                <w:bCs/>
                <w:sz w:val="20"/>
                <w:szCs w:val="20"/>
                <w:lang w:val="en-US"/>
              </w:rPr>
              <w:br/>
              <w:t>2012</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Net revenues</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104,202</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104,455</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323,921</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325,141</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Gross profit</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70,683</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72,613</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222,574</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225,894</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EBITDA (1)</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38,628</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41,760</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122,501</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130,646</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EBIT</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31,715</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34,404</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101,298</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109,150</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Net profit for the period</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20,014</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21,416</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61,055</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66,955</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480"/>
        </w:trPr>
        <w:tc>
          <w:tcPr>
            <w:tcW w:w="2055"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rPr>
                <w:b/>
                <w:bCs/>
                <w:sz w:val="20"/>
                <w:szCs w:val="20"/>
                <w:lang w:val="en-US"/>
              </w:rPr>
            </w:pPr>
            <w:r w:rsidRPr="009C238A">
              <w:rPr>
                <w:b/>
                <w:bCs/>
                <w:sz w:val="20"/>
                <w:szCs w:val="20"/>
                <w:lang w:val="en-US"/>
              </w:rPr>
              <w:t>Statement of financial position</w:t>
            </w:r>
            <w:r w:rsidRPr="009C238A">
              <w:rPr>
                <w:i/>
                <w:iCs/>
                <w:sz w:val="16"/>
                <w:szCs w:val="16"/>
                <w:lang w:val="en-US"/>
              </w:rPr>
              <w:t xml:space="preserve"> </w:t>
            </w:r>
            <w:r w:rsidRPr="009C238A">
              <w:rPr>
                <w:i/>
                <w:iCs/>
                <w:sz w:val="16"/>
                <w:szCs w:val="16"/>
                <w:lang w:val="en-US"/>
              </w:rPr>
              <w:br/>
              <w:t>(in thousands of euros)</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sz w:val="20"/>
                <w:szCs w:val="20"/>
                <w:lang w:val="en-US"/>
              </w:rPr>
            </w:pPr>
            <w:r w:rsidRPr="009C238A">
              <w:rPr>
                <w:b/>
                <w:bCs/>
                <w:sz w:val="20"/>
                <w:szCs w:val="20"/>
                <w:lang w:val="en-US"/>
              </w:rPr>
              <w:t> </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sz w:val="20"/>
                <w:szCs w:val="20"/>
                <w:lang w:val="en-US"/>
              </w:rPr>
            </w:pPr>
            <w:r w:rsidRPr="009C238A">
              <w:rPr>
                <w:b/>
                <w:bCs/>
                <w:sz w:val="20"/>
                <w:szCs w:val="20"/>
                <w:lang w:val="en-US"/>
              </w:rPr>
              <w:t> </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sz w:val="20"/>
                <w:szCs w:val="20"/>
                <w:lang w:val="en-US"/>
              </w:rPr>
            </w:pPr>
            <w:r w:rsidRPr="009C238A">
              <w:rPr>
                <w:b/>
                <w:bCs/>
                <w:sz w:val="20"/>
                <w:szCs w:val="20"/>
                <w:lang w:val="en-US"/>
              </w:rPr>
              <w:t>9/30/2013</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2174">
            <w:pPr>
              <w:jc w:val="right"/>
              <w:rPr>
                <w:b/>
                <w:bCs/>
                <w:sz w:val="20"/>
                <w:szCs w:val="20"/>
                <w:lang w:val="en-US"/>
              </w:rPr>
            </w:pPr>
            <w:r w:rsidRPr="009C238A">
              <w:rPr>
                <w:b/>
                <w:bCs/>
                <w:sz w:val="20"/>
                <w:szCs w:val="20"/>
                <w:lang w:val="en-US"/>
              </w:rPr>
              <w:t>12/31/2012(*)</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Capital invested in non-current assets</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209,563</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212,992</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Net invested capital</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311,440</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317,834</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Net financial position</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84,153</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47,168</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 xml:space="preserve">Shareholders’ equity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395,593</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365,002</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510"/>
        </w:trPr>
        <w:tc>
          <w:tcPr>
            <w:tcW w:w="2055"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rPr>
                <w:b/>
                <w:bCs/>
                <w:sz w:val="20"/>
                <w:szCs w:val="20"/>
                <w:lang w:val="en-US"/>
              </w:rPr>
            </w:pPr>
            <w:r w:rsidRPr="009C238A">
              <w:rPr>
                <w:b/>
                <w:bCs/>
                <w:sz w:val="20"/>
                <w:szCs w:val="20"/>
                <w:lang w:val="en-US"/>
              </w:rPr>
              <w:t>Statement of cash flows</w:t>
            </w:r>
            <w:r w:rsidRPr="009C238A">
              <w:rPr>
                <w:i/>
                <w:iCs/>
                <w:sz w:val="16"/>
                <w:szCs w:val="16"/>
                <w:lang w:val="en-US"/>
              </w:rPr>
              <w:t xml:space="preserve"> </w:t>
            </w:r>
            <w:r w:rsidRPr="009C238A">
              <w:rPr>
                <w:i/>
                <w:iCs/>
                <w:sz w:val="16"/>
                <w:szCs w:val="16"/>
                <w:lang w:val="en-US"/>
              </w:rPr>
              <w:br/>
              <w:t>(in thousands of euros)</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2174">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2013</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2174">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2012</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sz w:val="20"/>
                <w:szCs w:val="20"/>
                <w:lang w:val="en-US"/>
              </w:rPr>
            </w:pPr>
            <w:r w:rsidRPr="009C238A">
              <w:rPr>
                <w:b/>
                <w:bCs/>
                <w:sz w:val="20"/>
                <w:szCs w:val="20"/>
                <w:lang w:val="en-US"/>
              </w:rPr>
              <w:t xml:space="preserve">First nine months </w:t>
            </w:r>
            <w:r w:rsidRPr="009C238A">
              <w:rPr>
                <w:b/>
                <w:bCs/>
                <w:sz w:val="20"/>
                <w:szCs w:val="20"/>
                <w:lang w:val="en-US"/>
              </w:rPr>
              <w:br/>
              <w:t>2013</w:t>
            </w:r>
          </w:p>
        </w:tc>
        <w:tc>
          <w:tcPr>
            <w:tcW w:w="736"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sz w:val="20"/>
                <w:szCs w:val="20"/>
                <w:lang w:val="en-US"/>
              </w:rPr>
            </w:pPr>
            <w:r w:rsidRPr="009C238A">
              <w:rPr>
                <w:b/>
                <w:bCs/>
                <w:sz w:val="20"/>
                <w:szCs w:val="20"/>
                <w:lang w:val="en-US"/>
              </w:rPr>
              <w:t xml:space="preserve">First nine months </w:t>
            </w:r>
            <w:r w:rsidRPr="009C238A">
              <w:rPr>
                <w:b/>
                <w:bCs/>
                <w:sz w:val="20"/>
                <w:szCs w:val="20"/>
                <w:lang w:val="en-US"/>
              </w:rPr>
              <w:br/>
              <w:t>2012</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Net cash flow for the period</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24,855</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21,912</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(12,238)</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27,610</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Free cash flow (2)</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28,546</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22,498</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65,941</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65,230</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 xml:space="preserve">Capital expenditures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9,091</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8,138</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23,421</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22,726</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255"/>
        </w:trPr>
        <w:tc>
          <w:tcPr>
            <w:tcW w:w="2055" w:type="pct"/>
            <w:tcBorders>
              <w:top w:val="nil"/>
              <w:left w:val="nil"/>
              <w:bottom w:val="nil"/>
              <w:right w:val="nil"/>
            </w:tcBorders>
            <w:shd w:val="clear" w:color="000000" w:fill="FFFFFF"/>
            <w:noWrap/>
            <w:vAlign w:val="center"/>
          </w:tcPr>
          <w:p w:rsidR="009072DB" w:rsidRPr="009C238A" w:rsidRDefault="009072DB" w:rsidP="009072DB">
            <w:pPr>
              <w:outlineLvl w:val="8"/>
              <w:rPr>
                <w:sz w:val="20"/>
                <w:szCs w:val="20"/>
                <w:lang w:val="en-US"/>
              </w:rPr>
            </w:pPr>
            <w:r w:rsidRPr="009C238A">
              <w:rPr>
                <w:sz w:val="20"/>
                <w:szCs w:val="20"/>
                <w:lang w:val="en-US"/>
              </w:rPr>
              <w:t>Number of employees</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 </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1,608</w:t>
            </w:r>
          </w:p>
        </w:tc>
        <w:tc>
          <w:tcPr>
            <w:tcW w:w="736"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1,558</w:t>
            </w:r>
          </w:p>
        </w:tc>
      </w:tr>
    </w:tbl>
    <w:p w:rsidR="009072DB" w:rsidRPr="009C238A" w:rsidRDefault="009072DB" w:rsidP="009072DB">
      <w:pPr>
        <w:rPr>
          <w:b/>
          <w:bCs/>
          <w:smallCaps/>
          <w:sz w:val="28"/>
          <w:szCs w:val="28"/>
          <w:lang w:val="en-US"/>
        </w:rPr>
      </w:pPr>
    </w:p>
    <w:tbl>
      <w:tblPr>
        <w:tblW w:w="5000" w:type="pct"/>
        <w:tblCellMar>
          <w:left w:w="70" w:type="dxa"/>
          <w:right w:w="70" w:type="dxa"/>
        </w:tblCellMar>
        <w:tblLook w:val="00A0"/>
      </w:tblPr>
      <w:tblGrid>
        <w:gridCol w:w="9779"/>
      </w:tblGrid>
      <w:tr w:rsidR="009072DB" w:rsidRPr="00923B29" w:rsidTr="009072DB">
        <w:trPr>
          <w:trHeight w:val="510"/>
        </w:trPr>
        <w:tc>
          <w:tcPr>
            <w:tcW w:w="5000" w:type="pct"/>
            <w:tcBorders>
              <w:top w:val="nil"/>
              <w:left w:val="nil"/>
              <w:bottom w:val="nil"/>
              <w:right w:val="nil"/>
            </w:tcBorders>
            <w:vAlign w:val="bottom"/>
          </w:tcPr>
          <w:p w:rsidR="009072DB" w:rsidRPr="009C238A" w:rsidRDefault="009072DB" w:rsidP="009072DB">
            <w:pPr>
              <w:autoSpaceDE w:val="0"/>
              <w:autoSpaceDN w:val="0"/>
              <w:adjustRightInd w:val="0"/>
              <w:jc w:val="both"/>
              <w:rPr>
                <w:sz w:val="18"/>
                <w:szCs w:val="18"/>
                <w:lang w:val="en-US"/>
              </w:rPr>
            </w:pPr>
            <w:r w:rsidRPr="009C238A">
              <w:rPr>
                <w:sz w:val="18"/>
                <w:szCs w:val="18"/>
                <w:lang w:val="en-US"/>
              </w:rPr>
              <w:t>Unaudited data.</w:t>
            </w:r>
          </w:p>
          <w:p w:rsidR="009072DB" w:rsidRPr="009C238A" w:rsidRDefault="009072DB" w:rsidP="009072DB">
            <w:pPr>
              <w:autoSpaceDE w:val="0"/>
              <w:autoSpaceDN w:val="0"/>
              <w:adjustRightInd w:val="0"/>
              <w:jc w:val="both"/>
              <w:rPr>
                <w:sz w:val="18"/>
                <w:szCs w:val="18"/>
                <w:lang w:val="en-US"/>
              </w:rPr>
            </w:pPr>
            <w:r w:rsidRPr="009C238A">
              <w:rPr>
                <w:sz w:val="20"/>
                <w:szCs w:val="20"/>
                <w:lang w:val="en-US"/>
              </w:rPr>
              <w:t>(*)</w:t>
            </w:r>
            <w:r w:rsidR="000F56BB">
              <w:rPr>
                <w:sz w:val="20"/>
                <w:szCs w:val="20"/>
                <w:lang w:val="en-US"/>
              </w:rPr>
              <w:t xml:space="preserve"> </w:t>
            </w:r>
            <w:r w:rsidRPr="009C238A">
              <w:rPr>
                <w:sz w:val="18"/>
                <w:szCs w:val="18"/>
                <w:lang w:val="en-US"/>
              </w:rPr>
              <w:t xml:space="preserve">Following the retrospective </w:t>
            </w:r>
            <w:r w:rsidRPr="009C238A">
              <w:rPr>
                <w:color w:val="000000" w:themeColor="text1"/>
                <w:sz w:val="18"/>
                <w:szCs w:val="18"/>
                <w:lang w:val="en-US"/>
              </w:rPr>
              <w:t>application of the amendment to IAS 19 from January 1, 2013 the comparative figures at December 31, 2012 have been restated as required by IAS 1. See section “New accounting principles” of the Report on operations for additional information.</w:t>
            </w:r>
          </w:p>
          <w:p w:rsidR="009072DB" w:rsidRPr="009C238A" w:rsidRDefault="009072DB" w:rsidP="009072DB">
            <w:pPr>
              <w:jc w:val="both"/>
              <w:rPr>
                <w:sz w:val="18"/>
                <w:szCs w:val="18"/>
                <w:lang w:val="en-US"/>
              </w:rPr>
            </w:pPr>
            <w:r w:rsidRPr="009C238A">
              <w:rPr>
                <w:sz w:val="18"/>
                <w:szCs w:val="18"/>
                <w:lang w:val="en-US"/>
              </w:rPr>
              <w:t>(1)</w:t>
            </w:r>
            <w:r w:rsidRPr="009C238A">
              <w:rPr>
                <w:sz w:val="14"/>
                <w:szCs w:val="14"/>
                <w:lang w:val="en-US"/>
              </w:rPr>
              <w:t> </w:t>
            </w:r>
            <w:r w:rsidRPr="009C238A">
              <w:rPr>
                <w:color w:val="000000" w:themeColor="text1"/>
                <w:sz w:val="18"/>
                <w:szCs w:val="18"/>
                <w:lang w:val="en-US"/>
              </w:rPr>
              <w:t>The Board of Directors defines EBITDA as the “operating result (EBIT)” before amortization of intangibles and depreciation of property, plant and equipment</w:t>
            </w:r>
          </w:p>
        </w:tc>
      </w:tr>
      <w:tr w:rsidR="009072DB" w:rsidRPr="00923B29" w:rsidTr="009072DB">
        <w:trPr>
          <w:trHeight w:val="495"/>
        </w:trPr>
        <w:tc>
          <w:tcPr>
            <w:tcW w:w="5000" w:type="pct"/>
            <w:tcBorders>
              <w:top w:val="nil"/>
              <w:left w:val="nil"/>
              <w:bottom w:val="nil"/>
              <w:right w:val="nil"/>
            </w:tcBorders>
            <w:vAlign w:val="bottom"/>
          </w:tcPr>
          <w:p w:rsidR="009072DB" w:rsidRPr="009C238A" w:rsidRDefault="009072DB" w:rsidP="009072DB">
            <w:pPr>
              <w:jc w:val="both"/>
              <w:rPr>
                <w:sz w:val="18"/>
                <w:szCs w:val="18"/>
                <w:lang w:val="en-US"/>
              </w:rPr>
            </w:pPr>
            <w:r w:rsidRPr="009C238A">
              <w:rPr>
                <w:sz w:val="18"/>
                <w:szCs w:val="18"/>
                <w:lang w:val="en-US"/>
              </w:rPr>
              <w:t xml:space="preserve">(2) </w:t>
            </w:r>
            <w:r w:rsidRPr="009C238A">
              <w:rPr>
                <w:color w:val="000000" w:themeColor="text1"/>
                <w:sz w:val="18"/>
                <w:szCs w:val="18"/>
                <w:lang w:val="en-US"/>
              </w:rPr>
              <w:t>Free cash flow is the cash flow from operating activities, counting utilizations for capital expenditures but before interest payments and acquisitions of companies and business operations.</w:t>
            </w:r>
          </w:p>
        </w:tc>
      </w:tr>
    </w:tbl>
    <w:p w:rsidR="009072DB" w:rsidRPr="009C238A" w:rsidRDefault="009072DB" w:rsidP="009072DB">
      <w:pPr>
        <w:rPr>
          <w:b/>
          <w:bCs/>
          <w:smallCaps/>
          <w:sz w:val="28"/>
          <w:szCs w:val="28"/>
          <w:lang w:val="en-US"/>
        </w:rPr>
      </w:pPr>
    </w:p>
    <w:p w:rsidR="009072DB" w:rsidRPr="009C238A" w:rsidRDefault="009072DB" w:rsidP="009072DB">
      <w:pPr>
        <w:rPr>
          <w:b/>
          <w:bCs/>
          <w:smallCaps/>
          <w:sz w:val="28"/>
          <w:szCs w:val="28"/>
          <w:lang w:val="en-US"/>
        </w:rPr>
      </w:pPr>
    </w:p>
    <w:p w:rsidR="009072DB" w:rsidRPr="009C238A" w:rsidRDefault="009072DB" w:rsidP="009072DB">
      <w:pPr>
        <w:rPr>
          <w:b/>
          <w:bCs/>
          <w:smallCaps/>
          <w:sz w:val="28"/>
          <w:szCs w:val="28"/>
          <w:lang w:val="en-US"/>
        </w:rPr>
      </w:pPr>
    </w:p>
    <w:p w:rsidR="009072DB" w:rsidRPr="009C238A" w:rsidRDefault="009072DB" w:rsidP="009072DB">
      <w:pPr>
        <w:rPr>
          <w:b/>
          <w:bCs/>
          <w:smallCaps/>
          <w:sz w:val="28"/>
          <w:szCs w:val="28"/>
          <w:lang w:val="en-US"/>
        </w:rPr>
      </w:pPr>
    </w:p>
    <w:p w:rsidR="009072DB" w:rsidRPr="009C238A" w:rsidRDefault="009072DB" w:rsidP="009072DB">
      <w:pPr>
        <w:rPr>
          <w:b/>
          <w:bCs/>
          <w:smallCaps/>
          <w:sz w:val="28"/>
          <w:szCs w:val="28"/>
          <w:lang w:val="en-US"/>
        </w:rPr>
      </w:pPr>
    </w:p>
    <w:p w:rsidR="009072DB" w:rsidRPr="009C238A" w:rsidRDefault="009072DB" w:rsidP="009072DB">
      <w:pPr>
        <w:rPr>
          <w:b/>
          <w:bCs/>
          <w:smallCaps/>
          <w:sz w:val="28"/>
          <w:szCs w:val="28"/>
          <w:lang w:val="en-US"/>
        </w:rPr>
      </w:pPr>
    </w:p>
    <w:p w:rsidR="009072DB" w:rsidRPr="009C238A" w:rsidRDefault="009072DB" w:rsidP="009072DB">
      <w:pPr>
        <w:rPr>
          <w:b/>
          <w:bCs/>
          <w:smallCaps/>
          <w:sz w:val="28"/>
          <w:szCs w:val="28"/>
          <w:lang w:val="en-US"/>
        </w:rPr>
      </w:pPr>
    </w:p>
    <w:p w:rsidR="009072DB" w:rsidRPr="009C238A" w:rsidRDefault="009072DB" w:rsidP="009072DB">
      <w:pPr>
        <w:rPr>
          <w:smallCaps/>
          <w:sz w:val="28"/>
          <w:szCs w:val="28"/>
          <w:lang w:val="en-US"/>
        </w:rPr>
      </w:pPr>
      <w:bookmarkStart w:id="10" w:name="_Toc230421654"/>
    </w:p>
    <w:p w:rsidR="009072DB" w:rsidRPr="009C238A" w:rsidRDefault="009072DB" w:rsidP="009072DB">
      <w:pPr>
        <w:rPr>
          <w:smallCaps/>
          <w:sz w:val="28"/>
          <w:szCs w:val="28"/>
          <w:lang w:val="en-US"/>
        </w:rPr>
      </w:pPr>
    </w:p>
    <w:p w:rsidR="009072DB" w:rsidRPr="009C238A" w:rsidRDefault="009072DB" w:rsidP="009072DB">
      <w:pPr>
        <w:rPr>
          <w:smallCaps/>
          <w:sz w:val="28"/>
          <w:szCs w:val="28"/>
          <w:lang w:val="en-US"/>
        </w:rPr>
      </w:pPr>
    </w:p>
    <w:p w:rsidR="009072DB" w:rsidRPr="009C238A" w:rsidRDefault="009072DB" w:rsidP="009072DB">
      <w:pPr>
        <w:rPr>
          <w:smallCaps/>
          <w:sz w:val="28"/>
          <w:szCs w:val="28"/>
          <w:lang w:val="en-US"/>
        </w:rPr>
      </w:pPr>
    </w:p>
    <w:p w:rsidR="009072DB" w:rsidRPr="009C238A" w:rsidRDefault="009072DB" w:rsidP="009072DB">
      <w:pPr>
        <w:rPr>
          <w:smallCaps/>
          <w:sz w:val="28"/>
          <w:szCs w:val="28"/>
          <w:lang w:val="en-US"/>
        </w:rPr>
      </w:pPr>
    </w:p>
    <w:p w:rsidR="00995327" w:rsidRDefault="00995327" w:rsidP="00494DE0">
      <w:pPr>
        <w:pStyle w:val="Titolo1"/>
        <w:rPr>
          <w:b w:val="0"/>
          <w:bCs w:val="0"/>
          <w:smallCaps/>
          <w:sz w:val="28"/>
          <w:szCs w:val="28"/>
          <w:lang w:eastAsia="it-IT"/>
        </w:rPr>
      </w:pPr>
    </w:p>
    <w:p w:rsidR="009072DB" w:rsidRPr="00DB0617" w:rsidRDefault="009072DB" w:rsidP="00494DE0">
      <w:pPr>
        <w:pStyle w:val="Titolo1"/>
      </w:pPr>
      <w:bookmarkStart w:id="11" w:name="_Toc245837744"/>
      <w:r w:rsidRPr="00DB0617">
        <w:lastRenderedPageBreak/>
        <w:t>INTERIM REPORT ON OPERATIONS</w:t>
      </w:r>
      <w:bookmarkEnd w:id="10"/>
      <w:bookmarkEnd w:id="11"/>
    </w:p>
    <w:p w:rsidR="009072DB" w:rsidRPr="009C238A" w:rsidRDefault="009072DB" w:rsidP="009072DB">
      <w:pPr>
        <w:rPr>
          <w:lang w:val="en-US"/>
        </w:rPr>
      </w:pPr>
    </w:p>
    <w:p w:rsidR="009072DB" w:rsidRPr="009C238A" w:rsidRDefault="009072DB" w:rsidP="009072DB">
      <w:pPr>
        <w:widowControl w:val="0"/>
        <w:autoSpaceDE w:val="0"/>
        <w:autoSpaceDN w:val="0"/>
        <w:adjustRightInd w:val="0"/>
        <w:jc w:val="both"/>
        <w:rPr>
          <w:b/>
          <w:i/>
          <w:iCs/>
          <w:color w:val="000000"/>
          <w:lang w:val="en-US"/>
        </w:rPr>
      </w:pPr>
      <w:r w:rsidRPr="009C238A">
        <w:rPr>
          <w:b/>
          <w:i/>
          <w:iCs/>
          <w:color w:val="000000"/>
          <w:lang w:val="en-US"/>
        </w:rPr>
        <w:t xml:space="preserve">Foreword </w:t>
      </w:r>
    </w:p>
    <w:p w:rsidR="009072DB" w:rsidRPr="009C238A" w:rsidRDefault="009072DB" w:rsidP="009072DB">
      <w:pPr>
        <w:widowControl w:val="0"/>
        <w:autoSpaceDE w:val="0"/>
        <w:autoSpaceDN w:val="0"/>
        <w:adjustRightInd w:val="0"/>
        <w:jc w:val="both"/>
        <w:rPr>
          <w:b/>
          <w:i/>
          <w:iCs/>
          <w:color w:val="000000"/>
          <w:lang w:val="en-US"/>
        </w:rPr>
      </w:pPr>
    </w:p>
    <w:p w:rsidR="009072DB" w:rsidRPr="009C238A" w:rsidRDefault="009072DB" w:rsidP="009072DB">
      <w:pPr>
        <w:jc w:val="both"/>
        <w:rPr>
          <w:lang w:val="en-US"/>
        </w:rPr>
      </w:pPr>
      <w:r w:rsidRPr="009C238A">
        <w:rPr>
          <w:lang w:val="en-US"/>
        </w:rPr>
        <w:t>This interim report on operations at September 30, 2013 (hereinafter referred to as the “Quarterly Report”) was prepared in accordance with international accounting principles (International Accounting Standards – IAS and International Financial Reporting Standards – IFRS) and the corresponding interpretations (Standing Interpretations Committee – SIC and International Financial Reporting Interpretations Committee – IFRIC) published by the International Accounting Standards Boards (IASB). More specifically, it is being presented in condensed form, in accordance with the international accounting principle that governs interim financial reporting (IAS 34), as adopted by the European Union, and complies with the requirements of Article 154-</w:t>
      </w:r>
      <w:r w:rsidRPr="009C238A">
        <w:rPr>
          <w:i/>
          <w:iCs/>
          <w:lang w:val="en-US"/>
        </w:rPr>
        <w:t xml:space="preserve">ter, </w:t>
      </w:r>
      <w:r w:rsidRPr="009C238A">
        <w:rPr>
          <w:lang w:val="en-US"/>
        </w:rPr>
        <w:t>Sections 2 and 3, of Legislative Decree No. 58 of February 24, 1998.</w:t>
      </w:r>
    </w:p>
    <w:p w:rsidR="009072DB" w:rsidRPr="009C238A" w:rsidRDefault="009072DB" w:rsidP="009072DB">
      <w:pPr>
        <w:jc w:val="both"/>
        <w:rPr>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The accounting principles applied to prepare this consolidated quarterly report are consistent with those used for the annual consolidated financial statements at December 31, 2012, except as otherwise stated under “ New Accounting principles”, in the Notes to the Interim Consolidated Financial Statements.</w:t>
      </w:r>
    </w:p>
    <w:p w:rsidR="009072DB" w:rsidRPr="009C238A" w:rsidRDefault="009072DB" w:rsidP="009072DB">
      <w:pPr>
        <w:jc w:val="both"/>
        <w:rPr>
          <w:color w:val="000000" w:themeColor="text1"/>
          <w:lang w:val="en-US"/>
        </w:rPr>
      </w:pPr>
    </w:p>
    <w:p w:rsidR="009072DB" w:rsidRPr="009C238A" w:rsidRDefault="009072DB" w:rsidP="009072DB">
      <w:pPr>
        <w:widowControl w:val="0"/>
        <w:autoSpaceDE w:val="0"/>
        <w:autoSpaceDN w:val="0"/>
        <w:adjustRightInd w:val="0"/>
        <w:jc w:val="both"/>
        <w:rPr>
          <w:rFonts w:ascii="Ìç’'1" w:hAnsi="Ìç’'1" w:cs="Ìç’'1"/>
          <w:color w:val="000000" w:themeColor="text1"/>
          <w:lang w:val="en-US"/>
        </w:rPr>
      </w:pPr>
      <w:r w:rsidRPr="009C238A">
        <w:rPr>
          <w:color w:val="000000" w:themeColor="text1"/>
          <w:lang w:val="en-US"/>
        </w:rPr>
        <w:t>Following application of the amendment to IAS 19 (retrospectively) from January 1, 2013 figures previously reported in the statement of financial position at December 31, 2012 and the statement of comprehensive income for the first nine months of 2012, have been restated in accordance with the requirements of IAS 1. For further details, refer to “ New accounting principles” in the Notes to the Interim Consolidated Financial Statements.</w:t>
      </w:r>
    </w:p>
    <w:p w:rsidR="009072DB" w:rsidRPr="009C238A" w:rsidRDefault="009072DB" w:rsidP="009072DB">
      <w:pPr>
        <w:jc w:val="both"/>
        <w:rPr>
          <w:lang w:val="en-US"/>
        </w:rPr>
      </w:pPr>
    </w:p>
    <w:p w:rsidR="009072DB" w:rsidRPr="009C238A" w:rsidRDefault="009072DB" w:rsidP="009072DB">
      <w:pPr>
        <w:jc w:val="both"/>
        <w:rPr>
          <w:lang w:val="en-US"/>
        </w:rPr>
      </w:pPr>
    </w:p>
    <w:p w:rsidR="009072DB" w:rsidRPr="009C238A" w:rsidRDefault="009072DB" w:rsidP="009072DB">
      <w:pPr>
        <w:jc w:val="both"/>
        <w:rPr>
          <w:lang w:val="en-US"/>
        </w:rPr>
      </w:pPr>
    </w:p>
    <w:p w:rsidR="009072DB" w:rsidRPr="009C238A" w:rsidRDefault="009072DB" w:rsidP="009072DB">
      <w:pPr>
        <w:jc w:val="both"/>
        <w:rPr>
          <w:b/>
          <w:i/>
          <w:lang w:val="en-US" w:eastAsia="en-US"/>
        </w:rPr>
      </w:pPr>
    </w:p>
    <w:p w:rsidR="009072DB" w:rsidRPr="009C238A" w:rsidRDefault="009072DB" w:rsidP="009072DB">
      <w:pPr>
        <w:jc w:val="both"/>
        <w:rPr>
          <w:b/>
          <w:i/>
          <w:lang w:val="en-US" w:eastAsia="en-US"/>
        </w:rPr>
      </w:pPr>
      <w:r w:rsidRPr="009C238A">
        <w:rPr>
          <w:b/>
          <w:i/>
          <w:lang w:val="en-US" w:eastAsia="en-US"/>
        </w:rPr>
        <w:t>Key events in the third quarter of 2013</w:t>
      </w:r>
    </w:p>
    <w:p w:rsidR="009072DB" w:rsidRPr="009C238A" w:rsidRDefault="009072DB" w:rsidP="009072DB">
      <w:pPr>
        <w:autoSpaceDE w:val="0"/>
        <w:autoSpaceDN w:val="0"/>
        <w:adjustRightInd w:val="0"/>
        <w:jc w:val="both"/>
        <w:rPr>
          <w:rFonts w:cs="Arial"/>
          <w:lang w:val="en-US"/>
        </w:rPr>
      </w:pPr>
    </w:p>
    <w:p w:rsidR="009072DB" w:rsidRPr="009C238A" w:rsidRDefault="009072DB" w:rsidP="009072DB">
      <w:pPr>
        <w:autoSpaceDE w:val="0"/>
        <w:autoSpaceDN w:val="0"/>
        <w:adjustRightInd w:val="0"/>
        <w:jc w:val="both"/>
        <w:rPr>
          <w:lang w:val="en-US"/>
        </w:rPr>
      </w:pPr>
      <w:r w:rsidRPr="009C238A">
        <w:rPr>
          <w:lang w:val="en-US"/>
        </w:rPr>
        <w:t>In July</w:t>
      </w:r>
      <w:r w:rsidR="000F56BB">
        <w:rPr>
          <w:lang w:val="en-US"/>
        </w:rPr>
        <w:t xml:space="preserve"> 2013</w:t>
      </w:r>
      <w:r w:rsidRPr="009C238A">
        <w:rPr>
          <w:lang w:val="en-US"/>
        </w:rPr>
        <w:t xml:space="preserve">, Diasorin received the marketing authorization for 5 </w:t>
      </w:r>
      <w:r w:rsidRPr="009C238A">
        <w:rPr>
          <w:bCs/>
          <w:lang w:val="en-US"/>
        </w:rPr>
        <w:t xml:space="preserve">LIAISON XL assays </w:t>
      </w:r>
      <w:r w:rsidRPr="009C238A">
        <w:rPr>
          <w:lang w:val="en-US"/>
        </w:rPr>
        <w:t>(</w:t>
      </w:r>
      <w:r w:rsidRPr="009C238A">
        <w:rPr>
          <w:bCs/>
          <w:lang w:val="en-US"/>
        </w:rPr>
        <w:t>HBsAg Quant, Anti-HBs II, HCV Ab, HIV Ab/Ag, recHTLV-I/II</w:t>
      </w:r>
      <w:r w:rsidRPr="009C238A">
        <w:rPr>
          <w:lang w:val="en-US"/>
        </w:rPr>
        <w:t>)</w:t>
      </w:r>
      <w:r w:rsidRPr="009C238A">
        <w:rPr>
          <w:bCs/>
          <w:lang w:val="en-US"/>
        </w:rPr>
        <w:t xml:space="preserve"> related to Hepatitis and Retroviruses. With the launch of the full panel of CLIA Hepatitis and Retroviruses assays, now available on the LIAISON XL, Diasorin completed the already available markers for Hepatitis B and Hepatitis A in </w:t>
      </w:r>
      <w:r w:rsidRPr="009C238A">
        <w:rPr>
          <w:lang w:val="en-US"/>
        </w:rPr>
        <w:t>CLIA technology.</w:t>
      </w:r>
    </w:p>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lang w:val="en-US"/>
        </w:rPr>
      </w:pPr>
      <w:r w:rsidRPr="009C238A">
        <w:rPr>
          <w:lang w:val="en-US"/>
        </w:rPr>
        <w:t>In the same month, Diasorin launched a new molecular diagnostic test for the detection of Toxoplasmosis in the context of infectious di</w:t>
      </w:r>
      <w:r w:rsidR="00DB0617">
        <w:rPr>
          <w:lang w:val="en-US"/>
        </w:rPr>
        <w:t>seases on its LIAISON IAM analyz</w:t>
      </w:r>
      <w:r w:rsidRPr="009C238A">
        <w:rPr>
          <w:lang w:val="en-US"/>
        </w:rPr>
        <w:t>er, available on the market outside of the United States and Canada. The IAM Toxo is the fourth test launched by the Group to implement the panel of infectious diseases in molecular diagnostics already composed by the assays for the detection of infections from BK Virus, Varicella Zoster and Parvovirus (IAM BKV, IAM VZV, IAM PARVO) all marketed during the past months.</w:t>
      </w:r>
    </w:p>
    <w:p w:rsidR="009072DB" w:rsidRPr="009C238A" w:rsidRDefault="009072DB" w:rsidP="009072DB">
      <w:pPr>
        <w:autoSpaceDE w:val="0"/>
        <w:autoSpaceDN w:val="0"/>
        <w:adjustRightInd w:val="0"/>
        <w:jc w:val="both"/>
        <w:rPr>
          <w:lang w:val="en-US"/>
        </w:rPr>
      </w:pPr>
    </w:p>
    <w:p w:rsidR="00494DE0" w:rsidRDefault="009072DB" w:rsidP="00494DE0">
      <w:pPr>
        <w:autoSpaceDE w:val="0"/>
        <w:autoSpaceDN w:val="0"/>
        <w:adjustRightInd w:val="0"/>
        <w:jc w:val="both"/>
        <w:rPr>
          <w:bCs/>
          <w:lang w:val="en-US"/>
        </w:rPr>
      </w:pPr>
      <w:r w:rsidRPr="009C238A">
        <w:rPr>
          <w:lang w:val="en-US"/>
        </w:rPr>
        <w:t xml:space="preserve">In September, Diasorin received the clearance for the </w:t>
      </w:r>
      <w:r w:rsidRPr="009C238A">
        <w:rPr>
          <w:bCs/>
          <w:lang w:val="en-US"/>
        </w:rPr>
        <w:t>LIAISON XL hCG test from the</w:t>
      </w:r>
      <w:r w:rsidRPr="009C238A">
        <w:rPr>
          <w:lang w:val="en-US"/>
        </w:rPr>
        <w:t xml:space="preserve"> Food and Drug Administration </w:t>
      </w:r>
      <w:r w:rsidRPr="009C238A">
        <w:rPr>
          <w:bCs/>
          <w:lang w:val="en-US"/>
        </w:rPr>
        <w:t>for the US market. The hCG is an In Vitro Immunoassay for the quantitative determination of the total human chorionic gonadotropin (hCG and βhCG) in human serum for early detection of pregnancy, which can be pe</w:t>
      </w:r>
      <w:r w:rsidR="00DB0617">
        <w:rPr>
          <w:bCs/>
          <w:lang w:val="en-US"/>
        </w:rPr>
        <w:t>rformed on the LIAISON XL analyz</w:t>
      </w:r>
      <w:r w:rsidRPr="009C238A">
        <w:rPr>
          <w:bCs/>
          <w:lang w:val="en-US"/>
        </w:rPr>
        <w:t>er, in addition to the other Diasorin’s Fertility tests already approved.</w:t>
      </w:r>
    </w:p>
    <w:p w:rsidR="00DB0617" w:rsidRDefault="00DB0617" w:rsidP="00494DE0">
      <w:pPr>
        <w:autoSpaceDE w:val="0"/>
        <w:autoSpaceDN w:val="0"/>
        <w:adjustRightInd w:val="0"/>
        <w:jc w:val="both"/>
        <w:rPr>
          <w:bCs/>
          <w:lang w:val="en-US"/>
        </w:rPr>
      </w:pPr>
    </w:p>
    <w:p w:rsidR="00DB0617" w:rsidRDefault="00DB0617" w:rsidP="00494DE0">
      <w:pPr>
        <w:autoSpaceDE w:val="0"/>
        <w:autoSpaceDN w:val="0"/>
        <w:adjustRightInd w:val="0"/>
        <w:jc w:val="both"/>
        <w:rPr>
          <w:lang w:val="en-US"/>
        </w:rPr>
      </w:pPr>
    </w:p>
    <w:p w:rsidR="000F56BB" w:rsidRDefault="000F56BB" w:rsidP="00494DE0">
      <w:pPr>
        <w:autoSpaceDE w:val="0"/>
        <w:autoSpaceDN w:val="0"/>
        <w:adjustRightInd w:val="0"/>
        <w:jc w:val="both"/>
        <w:rPr>
          <w:b/>
          <w:i/>
          <w:lang w:val="en-US" w:eastAsia="en-US"/>
        </w:rPr>
      </w:pPr>
    </w:p>
    <w:p w:rsidR="009072DB" w:rsidRPr="00494DE0" w:rsidRDefault="009072DB" w:rsidP="00494DE0">
      <w:pPr>
        <w:autoSpaceDE w:val="0"/>
        <w:autoSpaceDN w:val="0"/>
        <w:adjustRightInd w:val="0"/>
        <w:jc w:val="both"/>
        <w:rPr>
          <w:lang w:val="en-US"/>
        </w:rPr>
      </w:pPr>
      <w:r w:rsidRPr="009C238A">
        <w:rPr>
          <w:b/>
          <w:i/>
          <w:lang w:val="en-US" w:eastAsia="en-US"/>
        </w:rPr>
        <w:lastRenderedPageBreak/>
        <w:t>The foreign exchange market</w:t>
      </w:r>
    </w:p>
    <w:p w:rsidR="009072DB" w:rsidRPr="009C238A" w:rsidRDefault="009072DB" w:rsidP="009072DB">
      <w:pPr>
        <w:spacing w:before="240" w:after="240"/>
        <w:ind w:right="-54"/>
        <w:jc w:val="both"/>
        <w:rPr>
          <w:highlight w:val="yellow"/>
          <w:lang w:val="en-US"/>
        </w:rPr>
      </w:pPr>
      <w:bookmarkStart w:id="12" w:name="_Toc195333461"/>
      <w:r w:rsidRPr="009C238A">
        <w:rPr>
          <w:color w:val="000000" w:themeColor="text1"/>
          <w:lang w:val="en-US"/>
        </w:rPr>
        <w:t>In the foreign exchange market</w:t>
      </w:r>
      <w:r w:rsidRPr="009C238A">
        <w:rPr>
          <w:lang w:val="en-US"/>
        </w:rPr>
        <w:t xml:space="preserve">, </w:t>
      </w:r>
      <w:r w:rsidRPr="009C238A">
        <w:rPr>
          <w:color w:val="000000" w:themeColor="text1"/>
          <w:lang w:val="en-US"/>
        </w:rPr>
        <w:t xml:space="preserve">the average exchange rate of the euro gained value against almost all currencies used by the Group in the third quarter of 2013, </w:t>
      </w:r>
      <w:r w:rsidR="00273C4A">
        <w:rPr>
          <w:lang w:val="en-US"/>
        </w:rPr>
        <w:t>particularly</w:t>
      </w:r>
      <w:r w:rsidRPr="009C238A">
        <w:rPr>
          <w:lang w:val="en-US"/>
        </w:rPr>
        <w:t xml:space="preserve"> for the U.S. dollar (almost +6%) compared with the third quarter of 2012. </w:t>
      </w:r>
      <w:r w:rsidRPr="009C238A">
        <w:rPr>
          <w:color w:val="000000" w:themeColor="text1"/>
          <w:lang w:val="en-US"/>
        </w:rPr>
        <w:t xml:space="preserve">The euro appreciated in value also vis-à-vis the other currencies used by the Group, with the exchange rate up versus the South African rand </w:t>
      </w:r>
      <w:r w:rsidRPr="009C238A">
        <w:rPr>
          <w:lang w:val="en-US"/>
        </w:rPr>
        <w:t xml:space="preserve">(+28%), </w:t>
      </w:r>
      <w:r w:rsidRPr="009C238A">
        <w:rPr>
          <w:color w:val="000000" w:themeColor="text1"/>
          <w:lang w:val="en-US"/>
        </w:rPr>
        <w:t xml:space="preserve">the Brazilian real </w:t>
      </w:r>
      <w:r w:rsidRPr="009C238A">
        <w:rPr>
          <w:lang w:val="en-US"/>
        </w:rPr>
        <w:t xml:space="preserve">(about +20%) </w:t>
      </w:r>
      <w:r w:rsidRPr="009C238A">
        <w:rPr>
          <w:color w:val="000000" w:themeColor="text1"/>
          <w:lang w:val="en-US"/>
        </w:rPr>
        <w:t xml:space="preserve">and the Australian dollar </w:t>
      </w:r>
      <w:r w:rsidRPr="009C238A">
        <w:rPr>
          <w:lang w:val="en-US"/>
        </w:rPr>
        <w:t xml:space="preserve">(about +20%). </w:t>
      </w:r>
    </w:p>
    <w:p w:rsidR="009072DB" w:rsidRPr="009C238A" w:rsidRDefault="009072DB" w:rsidP="009072DB">
      <w:pPr>
        <w:spacing w:before="240" w:after="240"/>
        <w:ind w:right="-54"/>
        <w:jc w:val="both"/>
        <w:rPr>
          <w:highlight w:val="yellow"/>
          <w:lang w:val="en-US"/>
        </w:rPr>
      </w:pPr>
      <w:r w:rsidRPr="009C238A">
        <w:rPr>
          <w:lang w:val="en-US"/>
        </w:rPr>
        <w:t xml:space="preserve">In the first nine months of 2013, </w:t>
      </w:r>
      <w:r w:rsidRPr="009C238A">
        <w:rPr>
          <w:color w:val="000000" w:themeColor="text1"/>
          <w:lang w:val="en-US"/>
        </w:rPr>
        <w:t>the average exchange rate of the euro versus the U.S. dollar was up</w:t>
      </w:r>
      <w:r w:rsidRPr="009C238A">
        <w:rPr>
          <w:lang w:val="en-US"/>
        </w:rPr>
        <w:t xml:space="preserve"> 2.8% </w:t>
      </w:r>
      <w:r w:rsidRPr="009C238A">
        <w:rPr>
          <w:color w:val="000000" w:themeColor="text1"/>
          <w:lang w:val="en-US"/>
        </w:rPr>
        <w:t>compared with the same period last year</w:t>
      </w:r>
      <w:r w:rsidRPr="009C238A">
        <w:rPr>
          <w:lang w:val="en-US"/>
        </w:rPr>
        <w:t xml:space="preserve">. </w:t>
      </w:r>
      <w:r w:rsidRPr="009C238A">
        <w:rPr>
          <w:color w:val="000000" w:themeColor="text1"/>
          <w:lang w:val="en-US"/>
        </w:rPr>
        <w:t xml:space="preserve">The exchange rate at September 30, 2013 appreciated by 2.4% equal to </w:t>
      </w:r>
      <w:r w:rsidRPr="009C238A">
        <w:rPr>
          <w:lang w:val="en-US"/>
        </w:rPr>
        <w:t xml:space="preserve">1.3505 U.S. dollars for one euro, compared with 1.3194 U.S. dollars for one euro at the end of 2012. </w:t>
      </w:r>
      <w:r w:rsidRPr="009C238A">
        <w:rPr>
          <w:color w:val="000000" w:themeColor="text1"/>
          <w:lang w:val="en-US"/>
        </w:rPr>
        <w:t xml:space="preserve">The euro appreciated in value also vis-à-vis the other currencies used by the Group, with the exchange rate up compared with the first nine months of 2012, particularly for the South African rand </w:t>
      </w:r>
      <w:r w:rsidRPr="009C238A">
        <w:rPr>
          <w:lang w:val="en-US"/>
        </w:rPr>
        <w:t xml:space="preserve">(+21.3%), </w:t>
      </w:r>
      <w:r w:rsidRPr="009C238A">
        <w:rPr>
          <w:color w:val="000000" w:themeColor="text1"/>
          <w:lang w:val="en-US"/>
        </w:rPr>
        <w:t xml:space="preserve">the Brazilian real </w:t>
      </w:r>
      <w:r w:rsidRPr="009C238A">
        <w:rPr>
          <w:lang w:val="en-US"/>
        </w:rPr>
        <w:t xml:space="preserve">(+13.8%) </w:t>
      </w:r>
      <w:r w:rsidRPr="009C238A">
        <w:rPr>
          <w:color w:val="000000" w:themeColor="text1"/>
          <w:lang w:val="en-US"/>
        </w:rPr>
        <w:t xml:space="preserve">and the Australian dollar </w:t>
      </w:r>
      <w:r w:rsidR="000F56BB">
        <w:rPr>
          <w:lang w:val="en-US"/>
        </w:rPr>
        <w:t>(+8.</w:t>
      </w:r>
      <w:r w:rsidRPr="009C238A">
        <w:rPr>
          <w:lang w:val="en-US"/>
        </w:rPr>
        <w:t xml:space="preserve">9%). </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 xml:space="preserve">The exchange rates impacted significantly on the Group’s operating performance of the periods under comparison. </w:t>
      </w:r>
    </w:p>
    <w:p w:rsidR="009072DB" w:rsidRPr="009C238A" w:rsidRDefault="009072DB" w:rsidP="009072DB">
      <w:pPr>
        <w:pStyle w:val="Default"/>
        <w:jc w:val="both"/>
        <w:rPr>
          <w:rFonts w:ascii="Times New Roman" w:cs="Times New Roman"/>
          <w:color w:val="000000" w:themeColor="text1"/>
          <w:lang w:val="en-US"/>
        </w:rPr>
      </w:pPr>
      <w:r w:rsidRPr="009C238A">
        <w:rPr>
          <w:rFonts w:ascii="Times New Roman" w:cs="Times New Roman"/>
          <w:color w:val="000000" w:themeColor="text1"/>
          <w:lang w:val="en-US"/>
        </w:rPr>
        <w:t>The table below provides a comparison of the average and end-of-period exchange rates for the third quarter and the first nine months of 2013 and 2012 (source: Italian Foreign Exchange Bureau):</w:t>
      </w:r>
    </w:p>
    <w:p w:rsidR="009072DB" w:rsidRPr="009C238A" w:rsidRDefault="009072DB" w:rsidP="009072DB">
      <w:pPr>
        <w:pStyle w:val="Default"/>
        <w:jc w:val="both"/>
        <w:rPr>
          <w:rFonts w:ascii="Times New Roman" w:cs="Times New Roman"/>
          <w:color w:val="000000" w:themeColor="text1"/>
          <w:lang w:val="en-US"/>
        </w:rPr>
      </w:pPr>
    </w:p>
    <w:tbl>
      <w:tblPr>
        <w:tblW w:w="5000" w:type="pct"/>
        <w:tblCellMar>
          <w:left w:w="70" w:type="dxa"/>
          <w:right w:w="70" w:type="dxa"/>
        </w:tblCellMar>
        <w:tblLook w:val="00A0"/>
      </w:tblPr>
      <w:tblGrid>
        <w:gridCol w:w="1573"/>
        <w:gridCol w:w="1571"/>
        <w:gridCol w:w="1445"/>
        <w:gridCol w:w="1613"/>
        <w:gridCol w:w="1487"/>
        <w:gridCol w:w="898"/>
        <w:gridCol w:w="1192"/>
      </w:tblGrid>
      <w:tr w:rsidR="009072DB" w:rsidRPr="009C238A" w:rsidTr="009072DB">
        <w:trPr>
          <w:trHeight w:val="300"/>
        </w:trPr>
        <w:tc>
          <w:tcPr>
            <w:tcW w:w="744" w:type="pct"/>
            <w:tcBorders>
              <w:top w:val="single" w:sz="4" w:space="0" w:color="auto"/>
              <w:left w:val="nil"/>
              <w:bottom w:val="nil"/>
              <w:right w:val="nil"/>
            </w:tcBorders>
            <w:shd w:val="clear" w:color="000000" w:fill="FFFFFF"/>
            <w:noWrap/>
            <w:vAlign w:val="bottom"/>
          </w:tcPr>
          <w:p w:rsidR="009072DB" w:rsidRPr="009C238A" w:rsidRDefault="009072DB" w:rsidP="009072DB">
            <w:pPr>
              <w:jc w:val="center"/>
              <w:rPr>
                <w:b/>
                <w:bCs/>
                <w:color w:val="000000"/>
                <w:sz w:val="18"/>
                <w:szCs w:val="18"/>
                <w:lang w:val="en-US"/>
              </w:rPr>
            </w:pPr>
            <w:r w:rsidRPr="009C238A">
              <w:rPr>
                <w:b/>
                <w:bCs/>
                <w:color w:val="000000" w:themeColor="text1"/>
                <w:sz w:val="20"/>
                <w:szCs w:val="20"/>
                <w:lang w:val="en-US"/>
              </w:rPr>
              <w:t>Currency</w:t>
            </w:r>
          </w:p>
        </w:tc>
        <w:tc>
          <w:tcPr>
            <w:tcW w:w="1565" w:type="pct"/>
            <w:gridSpan w:val="2"/>
            <w:tcBorders>
              <w:top w:val="single" w:sz="4" w:space="0" w:color="auto"/>
              <w:left w:val="nil"/>
              <w:bottom w:val="nil"/>
              <w:right w:val="nil"/>
            </w:tcBorders>
            <w:shd w:val="clear" w:color="000000" w:fill="FFFFFF"/>
            <w:noWrap/>
            <w:vAlign w:val="bottom"/>
          </w:tcPr>
          <w:p w:rsidR="009072DB" w:rsidRPr="009C238A" w:rsidRDefault="009072DB" w:rsidP="008455D3">
            <w:pPr>
              <w:jc w:val="right"/>
              <w:rPr>
                <w:b/>
                <w:bCs/>
                <w:color w:val="000000"/>
                <w:sz w:val="18"/>
                <w:szCs w:val="18"/>
                <w:lang w:val="en-US"/>
              </w:rPr>
            </w:pPr>
            <w:r w:rsidRPr="009C238A">
              <w:rPr>
                <w:b/>
                <w:bCs/>
                <w:color w:val="000000"/>
                <w:sz w:val="18"/>
                <w:szCs w:val="18"/>
                <w:lang w:val="en-US"/>
              </w:rPr>
              <w:t>Average rates 3</w:t>
            </w:r>
            <w:r w:rsidRPr="009C238A">
              <w:rPr>
                <w:b/>
                <w:bCs/>
                <w:color w:val="000000"/>
                <w:sz w:val="18"/>
                <w:szCs w:val="18"/>
                <w:vertAlign w:val="superscript"/>
                <w:lang w:val="en-US"/>
              </w:rPr>
              <w:t xml:space="preserve">rd </w:t>
            </w:r>
            <w:r w:rsidRPr="009C238A">
              <w:rPr>
                <w:b/>
                <w:bCs/>
                <w:color w:val="000000"/>
                <w:sz w:val="18"/>
                <w:szCs w:val="18"/>
                <w:lang w:val="en-US"/>
              </w:rPr>
              <w:t>quarter</w:t>
            </w:r>
          </w:p>
        </w:tc>
        <w:tc>
          <w:tcPr>
            <w:tcW w:w="1608" w:type="pct"/>
            <w:gridSpan w:val="2"/>
            <w:tcBorders>
              <w:top w:val="single" w:sz="4" w:space="0" w:color="auto"/>
              <w:left w:val="nil"/>
              <w:bottom w:val="nil"/>
              <w:right w:val="nil"/>
            </w:tcBorders>
            <w:shd w:val="clear" w:color="000000" w:fill="FFFFFF"/>
            <w:noWrap/>
            <w:vAlign w:val="bottom"/>
          </w:tcPr>
          <w:p w:rsidR="009072DB" w:rsidRPr="009C238A" w:rsidRDefault="009072DB" w:rsidP="008455D3">
            <w:pPr>
              <w:jc w:val="right"/>
              <w:rPr>
                <w:b/>
                <w:bCs/>
                <w:color w:val="000000"/>
                <w:sz w:val="18"/>
                <w:szCs w:val="18"/>
                <w:lang w:val="en-US"/>
              </w:rPr>
            </w:pPr>
            <w:r w:rsidRPr="009C238A">
              <w:rPr>
                <w:b/>
                <w:bCs/>
                <w:color w:val="000000"/>
                <w:sz w:val="18"/>
                <w:szCs w:val="18"/>
                <w:lang w:val="en-US"/>
              </w:rPr>
              <w:t>Average rates first nine months</w:t>
            </w:r>
          </w:p>
        </w:tc>
        <w:tc>
          <w:tcPr>
            <w:tcW w:w="1083" w:type="pct"/>
            <w:gridSpan w:val="2"/>
            <w:tcBorders>
              <w:top w:val="single" w:sz="4" w:space="0" w:color="auto"/>
              <w:left w:val="nil"/>
              <w:bottom w:val="nil"/>
              <w:right w:val="nil"/>
            </w:tcBorders>
            <w:shd w:val="clear" w:color="000000" w:fill="FFFFFF"/>
            <w:noWrap/>
            <w:vAlign w:val="bottom"/>
          </w:tcPr>
          <w:p w:rsidR="009072DB" w:rsidRPr="009C238A" w:rsidRDefault="008455D3" w:rsidP="008455D3">
            <w:pPr>
              <w:jc w:val="center"/>
              <w:rPr>
                <w:b/>
                <w:bCs/>
                <w:color w:val="000000"/>
                <w:sz w:val="18"/>
                <w:szCs w:val="18"/>
                <w:lang w:val="en-US"/>
              </w:rPr>
            </w:pPr>
            <w:r>
              <w:rPr>
                <w:b/>
                <w:bCs/>
                <w:color w:val="000000"/>
                <w:sz w:val="18"/>
                <w:szCs w:val="18"/>
                <w:lang w:val="en-US"/>
              </w:rPr>
              <w:t xml:space="preserve">        </w:t>
            </w:r>
            <w:r w:rsidR="009072DB" w:rsidRPr="009C238A">
              <w:rPr>
                <w:b/>
                <w:bCs/>
                <w:color w:val="000000"/>
                <w:sz w:val="18"/>
                <w:szCs w:val="18"/>
                <w:lang w:val="en-US"/>
              </w:rPr>
              <w:t xml:space="preserve">Rates at </w:t>
            </w:r>
            <w:r>
              <w:rPr>
                <w:b/>
                <w:bCs/>
                <w:color w:val="000000"/>
                <w:sz w:val="18"/>
                <w:szCs w:val="18"/>
                <w:lang w:val="en-US"/>
              </w:rPr>
              <w:t xml:space="preserve">Sept </w:t>
            </w:r>
            <w:r w:rsidR="009072DB" w:rsidRPr="009C238A">
              <w:rPr>
                <w:b/>
                <w:bCs/>
                <w:color w:val="000000"/>
                <w:sz w:val="18"/>
                <w:szCs w:val="18"/>
                <w:lang w:val="en-US"/>
              </w:rPr>
              <w:t>30</w:t>
            </w:r>
          </w:p>
        </w:tc>
      </w:tr>
      <w:tr w:rsidR="009072DB" w:rsidRPr="009C238A" w:rsidTr="009072DB">
        <w:trPr>
          <w:trHeight w:val="255"/>
        </w:trPr>
        <w:tc>
          <w:tcPr>
            <w:tcW w:w="744" w:type="pct"/>
            <w:tcBorders>
              <w:top w:val="nil"/>
              <w:left w:val="nil"/>
              <w:bottom w:val="single" w:sz="4" w:space="0" w:color="auto"/>
              <w:right w:val="nil"/>
            </w:tcBorders>
            <w:shd w:val="clear" w:color="000000" w:fill="FFFFFF"/>
            <w:noWrap/>
            <w:vAlign w:val="bottom"/>
          </w:tcPr>
          <w:p w:rsidR="009072DB" w:rsidRPr="009C238A" w:rsidRDefault="009072DB" w:rsidP="009072DB">
            <w:pPr>
              <w:rPr>
                <w:b/>
                <w:bCs/>
                <w:color w:val="000000"/>
                <w:sz w:val="18"/>
                <w:szCs w:val="18"/>
                <w:lang w:val="en-US"/>
              </w:rPr>
            </w:pPr>
            <w:r w:rsidRPr="009C238A">
              <w:rPr>
                <w:b/>
                <w:bCs/>
                <w:color w:val="000000"/>
                <w:sz w:val="18"/>
                <w:szCs w:val="18"/>
                <w:lang w:val="en-US"/>
              </w:rPr>
              <w:t> </w:t>
            </w:r>
          </w:p>
        </w:tc>
        <w:tc>
          <w:tcPr>
            <w:tcW w:w="815" w:type="pct"/>
            <w:tcBorders>
              <w:top w:val="nil"/>
              <w:left w:val="nil"/>
              <w:bottom w:val="single" w:sz="4" w:space="0" w:color="auto"/>
              <w:right w:val="nil"/>
            </w:tcBorders>
            <w:shd w:val="clear" w:color="000000" w:fill="FFFFFF"/>
            <w:noWrap/>
            <w:vAlign w:val="bottom"/>
          </w:tcPr>
          <w:p w:rsidR="009072DB" w:rsidRPr="009C238A" w:rsidRDefault="009072DB" w:rsidP="008455D3">
            <w:pPr>
              <w:jc w:val="right"/>
              <w:rPr>
                <w:b/>
                <w:bCs/>
                <w:color w:val="000000"/>
                <w:sz w:val="18"/>
                <w:szCs w:val="18"/>
                <w:lang w:val="en-US"/>
              </w:rPr>
            </w:pPr>
            <w:r w:rsidRPr="009C238A">
              <w:rPr>
                <w:b/>
                <w:bCs/>
                <w:color w:val="000000"/>
                <w:sz w:val="18"/>
                <w:szCs w:val="18"/>
                <w:lang w:val="en-US"/>
              </w:rPr>
              <w:t>2013</w:t>
            </w:r>
          </w:p>
        </w:tc>
        <w:tc>
          <w:tcPr>
            <w:tcW w:w="750" w:type="pct"/>
            <w:tcBorders>
              <w:top w:val="nil"/>
              <w:left w:val="nil"/>
              <w:bottom w:val="single" w:sz="4" w:space="0" w:color="auto"/>
              <w:right w:val="nil"/>
            </w:tcBorders>
            <w:shd w:val="clear" w:color="000000" w:fill="FFFFFF"/>
            <w:noWrap/>
            <w:vAlign w:val="bottom"/>
          </w:tcPr>
          <w:p w:rsidR="009072DB" w:rsidRPr="009C238A" w:rsidRDefault="009072DB" w:rsidP="008455D3">
            <w:pPr>
              <w:jc w:val="right"/>
              <w:rPr>
                <w:b/>
                <w:bCs/>
                <w:color w:val="000000"/>
                <w:sz w:val="18"/>
                <w:szCs w:val="18"/>
                <w:lang w:val="en-US"/>
              </w:rPr>
            </w:pPr>
            <w:r w:rsidRPr="009C238A">
              <w:rPr>
                <w:b/>
                <w:bCs/>
                <w:color w:val="000000"/>
                <w:sz w:val="18"/>
                <w:szCs w:val="18"/>
                <w:lang w:val="en-US"/>
              </w:rPr>
              <w:t>2012</w:t>
            </w:r>
          </w:p>
        </w:tc>
        <w:tc>
          <w:tcPr>
            <w:tcW w:w="837" w:type="pct"/>
            <w:tcBorders>
              <w:top w:val="nil"/>
              <w:left w:val="nil"/>
              <w:bottom w:val="single" w:sz="4" w:space="0" w:color="auto"/>
              <w:right w:val="nil"/>
            </w:tcBorders>
            <w:shd w:val="clear" w:color="000000" w:fill="FFFFFF"/>
            <w:noWrap/>
            <w:vAlign w:val="bottom"/>
          </w:tcPr>
          <w:p w:rsidR="009072DB" w:rsidRPr="009C238A" w:rsidRDefault="009072DB" w:rsidP="008455D3">
            <w:pPr>
              <w:jc w:val="right"/>
              <w:rPr>
                <w:b/>
                <w:bCs/>
                <w:color w:val="000000"/>
                <w:sz w:val="18"/>
                <w:szCs w:val="18"/>
                <w:lang w:val="en-US"/>
              </w:rPr>
            </w:pPr>
            <w:r w:rsidRPr="009C238A">
              <w:rPr>
                <w:b/>
                <w:bCs/>
                <w:color w:val="000000"/>
                <w:sz w:val="18"/>
                <w:szCs w:val="18"/>
                <w:lang w:val="en-US"/>
              </w:rPr>
              <w:t>2013</w:t>
            </w:r>
          </w:p>
        </w:tc>
        <w:tc>
          <w:tcPr>
            <w:tcW w:w="771" w:type="pct"/>
            <w:tcBorders>
              <w:top w:val="nil"/>
              <w:left w:val="nil"/>
              <w:bottom w:val="single" w:sz="4" w:space="0" w:color="auto"/>
              <w:right w:val="nil"/>
            </w:tcBorders>
            <w:shd w:val="clear" w:color="000000" w:fill="FFFFFF"/>
            <w:noWrap/>
            <w:vAlign w:val="bottom"/>
          </w:tcPr>
          <w:p w:rsidR="009072DB" w:rsidRPr="009C238A" w:rsidRDefault="009072DB" w:rsidP="008455D3">
            <w:pPr>
              <w:jc w:val="right"/>
              <w:rPr>
                <w:b/>
                <w:bCs/>
                <w:color w:val="000000"/>
                <w:sz w:val="18"/>
                <w:szCs w:val="18"/>
                <w:lang w:val="en-US"/>
              </w:rPr>
            </w:pPr>
            <w:r w:rsidRPr="009C238A">
              <w:rPr>
                <w:b/>
                <w:bCs/>
                <w:color w:val="000000"/>
                <w:sz w:val="18"/>
                <w:szCs w:val="18"/>
                <w:lang w:val="en-US"/>
              </w:rPr>
              <w:t>2012</w:t>
            </w:r>
          </w:p>
        </w:tc>
        <w:tc>
          <w:tcPr>
            <w:tcW w:w="465" w:type="pct"/>
            <w:tcBorders>
              <w:top w:val="nil"/>
              <w:left w:val="nil"/>
              <w:bottom w:val="single" w:sz="4" w:space="0" w:color="auto"/>
              <w:right w:val="nil"/>
            </w:tcBorders>
            <w:shd w:val="clear" w:color="000000" w:fill="FFFFFF"/>
            <w:noWrap/>
            <w:vAlign w:val="bottom"/>
          </w:tcPr>
          <w:p w:rsidR="009072DB" w:rsidRPr="009C238A" w:rsidRDefault="009072DB" w:rsidP="008455D3">
            <w:pPr>
              <w:jc w:val="right"/>
              <w:rPr>
                <w:b/>
                <w:bCs/>
                <w:color w:val="000000"/>
                <w:sz w:val="18"/>
                <w:szCs w:val="18"/>
                <w:lang w:val="en-US"/>
              </w:rPr>
            </w:pPr>
            <w:r w:rsidRPr="009C238A">
              <w:rPr>
                <w:b/>
                <w:bCs/>
                <w:color w:val="000000"/>
                <w:sz w:val="18"/>
                <w:szCs w:val="18"/>
                <w:lang w:val="en-US"/>
              </w:rPr>
              <w:t>2013</w:t>
            </w:r>
          </w:p>
        </w:tc>
        <w:tc>
          <w:tcPr>
            <w:tcW w:w="618" w:type="pct"/>
            <w:tcBorders>
              <w:top w:val="nil"/>
              <w:left w:val="nil"/>
              <w:bottom w:val="single" w:sz="4" w:space="0" w:color="auto"/>
              <w:right w:val="nil"/>
            </w:tcBorders>
            <w:shd w:val="clear" w:color="000000" w:fill="FFFFFF"/>
            <w:noWrap/>
            <w:vAlign w:val="bottom"/>
          </w:tcPr>
          <w:p w:rsidR="009072DB" w:rsidRPr="009C238A" w:rsidRDefault="009072DB" w:rsidP="008455D3">
            <w:pPr>
              <w:jc w:val="right"/>
              <w:rPr>
                <w:b/>
                <w:bCs/>
                <w:color w:val="000000"/>
                <w:sz w:val="18"/>
                <w:szCs w:val="18"/>
                <w:lang w:val="en-US"/>
              </w:rPr>
            </w:pPr>
            <w:r w:rsidRPr="009C238A">
              <w:rPr>
                <w:b/>
                <w:bCs/>
                <w:color w:val="000000"/>
                <w:sz w:val="18"/>
                <w:szCs w:val="18"/>
                <w:lang w:val="en-US"/>
              </w:rPr>
              <w:t>2012</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sz w:val="18"/>
                <w:szCs w:val="18"/>
                <w:lang w:val="en-US"/>
              </w:rPr>
              <w:t> </w:t>
            </w:r>
          </w:p>
        </w:tc>
        <w:tc>
          <w:tcPr>
            <w:tcW w:w="815"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sz w:val="18"/>
                <w:szCs w:val="18"/>
                <w:lang w:val="en-US"/>
              </w:rPr>
              <w:t> </w:t>
            </w:r>
          </w:p>
        </w:tc>
        <w:tc>
          <w:tcPr>
            <w:tcW w:w="750"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sz w:val="18"/>
                <w:szCs w:val="18"/>
                <w:lang w:val="en-US"/>
              </w:rPr>
              <w:t> </w:t>
            </w:r>
          </w:p>
        </w:tc>
        <w:tc>
          <w:tcPr>
            <w:tcW w:w="837"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sz w:val="18"/>
                <w:szCs w:val="18"/>
                <w:lang w:val="en-US"/>
              </w:rPr>
              <w:t> </w:t>
            </w:r>
          </w:p>
        </w:tc>
        <w:tc>
          <w:tcPr>
            <w:tcW w:w="771"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sz w:val="18"/>
                <w:szCs w:val="18"/>
                <w:lang w:val="en-US"/>
              </w:rPr>
              <w:t>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U.S. dollar</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1.3242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1.2502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1.3171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1.2808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1.3505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1.2930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Brazilian real</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3.0304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2.5359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2.7934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2.4555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3.0406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2.6232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British pound</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0.8545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0.7915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0.8521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0.8120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0.8361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0.7981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Swedish kronor</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8.6798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8.4354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8.5825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8.7311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8.6575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8.4498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Czech koruna</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25.8527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25.0822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25.7524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25.1431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25.7300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25.1410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Canadian dollar</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1.3760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1.2447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1.3486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1.2839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1.3912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1.2684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Mexican peso</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17.1005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16.4690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16.7064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16.9437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17.8462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16.6086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Israeli shekel</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4.7459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4.9819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4.7932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4.9430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4.7734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5.0603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Chinese Yuan</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8.1111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7.9410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8.1225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8.1058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8.2645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8.1261 </w:t>
            </w:r>
          </w:p>
        </w:tc>
      </w:tr>
      <w:tr w:rsidR="009072DB" w:rsidRPr="009C238A" w:rsidTr="009072DB">
        <w:trPr>
          <w:trHeight w:val="255"/>
        </w:trPr>
        <w:tc>
          <w:tcPr>
            <w:tcW w:w="744" w:type="pct"/>
            <w:tcBorders>
              <w:top w:val="nil"/>
              <w:left w:val="nil"/>
              <w:bottom w:val="nil"/>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Australian dollar</w:t>
            </w:r>
          </w:p>
        </w:tc>
        <w:tc>
          <w:tcPr>
            <w:tcW w:w="81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1.4465 </w:t>
            </w:r>
          </w:p>
        </w:tc>
        <w:tc>
          <w:tcPr>
            <w:tcW w:w="750"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1.2035 </w:t>
            </w:r>
          </w:p>
        </w:tc>
        <w:tc>
          <w:tcPr>
            <w:tcW w:w="837"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1.3480 </w:t>
            </w:r>
          </w:p>
        </w:tc>
        <w:tc>
          <w:tcPr>
            <w:tcW w:w="771"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1.2381 </w:t>
            </w:r>
          </w:p>
        </w:tc>
        <w:tc>
          <w:tcPr>
            <w:tcW w:w="465"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1.4486 </w:t>
            </w:r>
          </w:p>
        </w:tc>
        <w:tc>
          <w:tcPr>
            <w:tcW w:w="618" w:type="pct"/>
            <w:tcBorders>
              <w:top w:val="nil"/>
              <w:left w:val="nil"/>
              <w:bottom w:val="nil"/>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1.2396 </w:t>
            </w:r>
          </w:p>
        </w:tc>
      </w:tr>
      <w:tr w:rsidR="009072DB" w:rsidRPr="009C238A" w:rsidTr="009072DB">
        <w:trPr>
          <w:trHeight w:val="255"/>
        </w:trPr>
        <w:tc>
          <w:tcPr>
            <w:tcW w:w="744" w:type="pct"/>
            <w:tcBorders>
              <w:top w:val="nil"/>
              <w:left w:val="nil"/>
              <w:bottom w:val="single" w:sz="4" w:space="0" w:color="auto"/>
              <w:right w:val="nil"/>
            </w:tcBorders>
            <w:shd w:val="clear" w:color="000000" w:fill="FFFFFF"/>
            <w:noWrap/>
            <w:vAlign w:val="bottom"/>
          </w:tcPr>
          <w:p w:rsidR="009072DB" w:rsidRPr="009C238A" w:rsidRDefault="009072DB" w:rsidP="009072DB">
            <w:pPr>
              <w:rPr>
                <w:color w:val="000000"/>
                <w:sz w:val="18"/>
                <w:szCs w:val="18"/>
                <w:lang w:val="en-US"/>
              </w:rPr>
            </w:pPr>
            <w:r w:rsidRPr="009C238A">
              <w:rPr>
                <w:color w:val="000000" w:themeColor="text1"/>
                <w:sz w:val="20"/>
                <w:szCs w:val="20"/>
                <w:lang w:val="en-US"/>
              </w:rPr>
              <w:t>South African rand</w:t>
            </w:r>
          </w:p>
        </w:tc>
        <w:tc>
          <w:tcPr>
            <w:tcW w:w="815" w:type="pct"/>
            <w:tcBorders>
              <w:top w:val="nil"/>
              <w:left w:val="nil"/>
              <w:bottom w:val="single" w:sz="4" w:space="0" w:color="auto"/>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13.2329 </w:t>
            </w:r>
          </w:p>
        </w:tc>
        <w:tc>
          <w:tcPr>
            <w:tcW w:w="750" w:type="pct"/>
            <w:tcBorders>
              <w:top w:val="nil"/>
              <w:left w:val="nil"/>
              <w:bottom w:val="single" w:sz="4" w:space="0" w:color="auto"/>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10.3385 </w:t>
            </w:r>
          </w:p>
        </w:tc>
        <w:tc>
          <w:tcPr>
            <w:tcW w:w="837" w:type="pct"/>
            <w:tcBorders>
              <w:top w:val="nil"/>
              <w:left w:val="nil"/>
              <w:bottom w:val="single" w:sz="4" w:space="0" w:color="auto"/>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12.5015 </w:t>
            </w:r>
          </w:p>
        </w:tc>
        <w:tc>
          <w:tcPr>
            <w:tcW w:w="771" w:type="pct"/>
            <w:tcBorders>
              <w:top w:val="nil"/>
              <w:left w:val="nil"/>
              <w:bottom w:val="single" w:sz="4" w:space="0" w:color="auto"/>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10.3092 </w:t>
            </w:r>
          </w:p>
        </w:tc>
        <w:tc>
          <w:tcPr>
            <w:tcW w:w="465" w:type="pct"/>
            <w:tcBorders>
              <w:top w:val="nil"/>
              <w:left w:val="nil"/>
              <w:bottom w:val="single" w:sz="4" w:space="0" w:color="auto"/>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13.5985 </w:t>
            </w:r>
          </w:p>
        </w:tc>
        <w:tc>
          <w:tcPr>
            <w:tcW w:w="618" w:type="pct"/>
            <w:tcBorders>
              <w:top w:val="nil"/>
              <w:left w:val="nil"/>
              <w:bottom w:val="single" w:sz="4" w:space="0" w:color="auto"/>
              <w:right w:val="nil"/>
            </w:tcBorders>
            <w:shd w:val="clear" w:color="000000" w:fill="FFFFFF"/>
            <w:noWrap/>
            <w:vAlign w:val="bottom"/>
          </w:tcPr>
          <w:p w:rsidR="009072DB" w:rsidRPr="009C238A" w:rsidRDefault="009072DB" w:rsidP="009072DB">
            <w:pPr>
              <w:jc w:val="right"/>
              <w:rPr>
                <w:color w:val="000000"/>
                <w:sz w:val="18"/>
                <w:szCs w:val="18"/>
                <w:lang w:val="en-US"/>
              </w:rPr>
            </w:pPr>
            <w:r w:rsidRPr="009C238A">
              <w:rPr>
                <w:color w:val="000000"/>
                <w:sz w:val="18"/>
                <w:szCs w:val="18"/>
                <w:lang w:val="en-US"/>
              </w:rPr>
              <w:t xml:space="preserve">            10.7125 </w:t>
            </w:r>
          </w:p>
        </w:tc>
      </w:tr>
    </w:tbl>
    <w:p w:rsidR="009072DB" w:rsidRPr="009C238A" w:rsidRDefault="009072DB" w:rsidP="009072DB">
      <w:pPr>
        <w:autoSpaceDE w:val="0"/>
        <w:autoSpaceDN w:val="0"/>
        <w:adjustRightInd w:val="0"/>
        <w:jc w:val="both"/>
        <w:rPr>
          <w:lang w:val="en-US"/>
        </w:rPr>
      </w:pPr>
    </w:p>
    <w:p w:rsidR="009072DB" w:rsidRPr="009C238A" w:rsidRDefault="009072DB" w:rsidP="009072DB">
      <w:pPr>
        <w:spacing w:before="240" w:after="240"/>
        <w:ind w:right="-54"/>
        <w:jc w:val="both"/>
        <w:rPr>
          <w:lang w:val="en-US"/>
        </w:rPr>
      </w:pPr>
    </w:p>
    <w:p w:rsidR="009072DB" w:rsidRPr="009C238A" w:rsidRDefault="009072DB" w:rsidP="009072DB">
      <w:pPr>
        <w:rPr>
          <w:b/>
          <w:bCs/>
          <w:smallCaps/>
          <w:sz w:val="28"/>
          <w:szCs w:val="28"/>
          <w:lang w:val="en-US" w:eastAsia="en-US"/>
        </w:rPr>
      </w:pPr>
      <w:bookmarkStart w:id="13" w:name="_Toc268782938"/>
      <w:bookmarkEnd w:id="12"/>
      <w:r w:rsidRPr="009C238A">
        <w:rPr>
          <w:smallCaps/>
          <w:sz w:val="28"/>
          <w:szCs w:val="28"/>
          <w:lang w:val="en-US"/>
        </w:rPr>
        <w:br w:type="page"/>
      </w:r>
    </w:p>
    <w:p w:rsidR="009072DB" w:rsidRPr="00D02130" w:rsidRDefault="009072DB" w:rsidP="00143CFE">
      <w:pPr>
        <w:pStyle w:val="Titolo1"/>
      </w:pPr>
      <w:bookmarkStart w:id="14" w:name="_Toc245837745"/>
      <w:bookmarkStart w:id="15" w:name="_Toc268617644"/>
      <w:bookmarkStart w:id="16" w:name="_Toc268695287"/>
      <w:bookmarkStart w:id="17" w:name="_Toc268774542"/>
      <w:bookmarkStart w:id="18" w:name="_Toc268782939"/>
      <w:bookmarkEnd w:id="13"/>
      <w:r w:rsidRPr="00D02130">
        <w:lastRenderedPageBreak/>
        <w:t>REVIEW OF THE GROUP’S OPERATING PERFORMANCE AND FINANCIAL POSITION</w:t>
      </w:r>
      <w:bookmarkEnd w:id="14"/>
    </w:p>
    <w:p w:rsidR="009072DB" w:rsidRPr="009C238A" w:rsidRDefault="009072DB" w:rsidP="009072DB">
      <w:pPr>
        <w:rPr>
          <w:b/>
          <w:i/>
          <w:lang w:val="en-US" w:eastAsia="en-US"/>
        </w:rPr>
      </w:pPr>
    </w:p>
    <w:p w:rsidR="009072DB" w:rsidRPr="00D02130" w:rsidRDefault="009072DB" w:rsidP="00143CFE">
      <w:pPr>
        <w:pStyle w:val="Titolo2"/>
        <w:rPr>
          <w:b/>
          <w:sz w:val="20"/>
          <w:szCs w:val="20"/>
        </w:rPr>
      </w:pPr>
      <w:bookmarkStart w:id="19" w:name="_Toc245837746"/>
      <w:bookmarkEnd w:id="15"/>
      <w:bookmarkEnd w:id="16"/>
      <w:bookmarkEnd w:id="17"/>
      <w:bookmarkEnd w:id="18"/>
      <w:r w:rsidRPr="00D02130">
        <w:rPr>
          <w:b/>
          <w:sz w:val="20"/>
          <w:szCs w:val="20"/>
        </w:rPr>
        <w:t>OPERATING PERFORMANCE IN THE THIRD QUARTER OF  2013</w:t>
      </w:r>
      <w:bookmarkEnd w:id="19"/>
    </w:p>
    <w:p w:rsidR="009072DB" w:rsidRPr="009C238A" w:rsidRDefault="009072DB" w:rsidP="009072DB">
      <w:pPr>
        <w:spacing w:before="240"/>
        <w:ind w:right="-58"/>
        <w:jc w:val="both"/>
        <w:rPr>
          <w:b/>
          <w:smallCaps/>
          <w:lang w:val="en-US"/>
        </w:rPr>
      </w:pPr>
    </w:p>
    <w:p w:rsidR="009072DB" w:rsidRPr="009C238A" w:rsidRDefault="009072DB" w:rsidP="009072DB">
      <w:pPr>
        <w:jc w:val="both"/>
        <w:rPr>
          <w:color w:val="000000" w:themeColor="text1"/>
          <w:lang w:val="en-US" w:eastAsia="en-US"/>
        </w:rPr>
      </w:pPr>
      <w:r w:rsidRPr="009C238A">
        <w:rPr>
          <w:lang w:val="en-US"/>
        </w:rPr>
        <w:t xml:space="preserve">In the third quarter of 2013, </w:t>
      </w:r>
      <w:r w:rsidRPr="009C238A">
        <w:rPr>
          <w:color w:val="000000" w:themeColor="text1"/>
          <w:lang w:val="en-US" w:eastAsia="en-US"/>
        </w:rPr>
        <w:t xml:space="preserve">the Diasorin Group’s revenues totaled </w:t>
      </w:r>
      <w:r w:rsidRPr="009C238A">
        <w:rPr>
          <w:lang w:val="en-US"/>
        </w:rPr>
        <w:t>104,202 up by 3.6% at constant exchange rate</w:t>
      </w:r>
      <w:r w:rsidR="00CA79D1">
        <w:rPr>
          <w:lang w:val="en-US"/>
        </w:rPr>
        <w:t>s</w:t>
      </w:r>
      <w:r w:rsidRPr="009C238A">
        <w:rPr>
          <w:lang w:val="en-US"/>
        </w:rPr>
        <w:t xml:space="preserve">, compared with the third quarter of 2012 </w:t>
      </w:r>
      <w:r w:rsidRPr="009C238A">
        <w:rPr>
          <w:lang w:val="en-US" w:eastAsia="en-US"/>
        </w:rPr>
        <w:t>(</w:t>
      </w:r>
      <w:r w:rsidRPr="009C238A">
        <w:rPr>
          <w:lang w:val="en-US"/>
        </w:rPr>
        <w:t xml:space="preserve">-0.2% </w:t>
      </w:r>
      <w:r w:rsidRPr="009C238A">
        <w:rPr>
          <w:lang w:val="en-US" w:eastAsia="en-US"/>
        </w:rPr>
        <w:t>at current exchange rate</w:t>
      </w:r>
      <w:r w:rsidR="00CA79D1">
        <w:rPr>
          <w:lang w:val="en-US" w:eastAsia="en-US"/>
        </w:rPr>
        <w:t>s</w:t>
      </w:r>
      <w:r w:rsidRPr="009C238A">
        <w:rPr>
          <w:lang w:val="en-US" w:eastAsia="en-US"/>
        </w:rPr>
        <w:t>)</w:t>
      </w:r>
      <w:r w:rsidRPr="009C238A">
        <w:rPr>
          <w:lang w:val="en-US"/>
        </w:rPr>
        <w:t xml:space="preserve">. </w:t>
      </w:r>
      <w:r w:rsidRPr="009C238A">
        <w:rPr>
          <w:color w:val="000000" w:themeColor="text1"/>
          <w:lang w:val="en-US" w:eastAsia="en-US"/>
        </w:rPr>
        <w:t>The Group achieved this result despite the difficult macroeconomic environment, especially in Europe, where the contraction in the IVD market continues in Italy (-2.5%</w:t>
      </w:r>
      <w:r w:rsidRPr="009C238A">
        <w:rPr>
          <w:rStyle w:val="Rimandonotaapidipagina"/>
          <w:color w:val="000000" w:themeColor="text1"/>
          <w:lang w:val="en-US" w:eastAsia="en-US"/>
        </w:rPr>
        <w:footnoteReference w:id="1"/>
      </w:r>
      <w:r w:rsidRPr="009C238A">
        <w:rPr>
          <w:color w:val="000000" w:themeColor="text1"/>
          <w:lang w:val="en-US" w:eastAsia="en-US"/>
        </w:rPr>
        <w:t>), France (-2.0%</w:t>
      </w:r>
      <w:r w:rsidRPr="009C238A">
        <w:rPr>
          <w:rStyle w:val="Rimandonotaapidipagina"/>
          <w:color w:val="000000" w:themeColor="text1"/>
          <w:lang w:val="en-US" w:eastAsia="en-US"/>
        </w:rPr>
        <w:footnoteReference w:id="2"/>
      </w:r>
      <w:r w:rsidRPr="009C238A">
        <w:rPr>
          <w:color w:val="000000" w:themeColor="text1"/>
          <w:lang w:val="en-US" w:eastAsia="en-US"/>
        </w:rPr>
        <w:t>) and Spain (-6.4%</w:t>
      </w:r>
      <w:r w:rsidRPr="009C238A">
        <w:rPr>
          <w:color w:val="000000" w:themeColor="text1"/>
          <w:vertAlign w:val="superscript"/>
          <w:lang w:val="en-US" w:eastAsia="en-US"/>
        </w:rPr>
        <w:t>2</w:t>
      </w:r>
      <w:r w:rsidRPr="009C238A">
        <w:rPr>
          <w:color w:val="000000" w:themeColor="text1"/>
          <w:lang w:val="en-US" w:eastAsia="en-US"/>
        </w:rPr>
        <w:t>).</w:t>
      </w:r>
      <w:r w:rsidRPr="009C238A">
        <w:rPr>
          <w:lang w:val="en-US"/>
        </w:rPr>
        <w:t xml:space="preserve"> </w:t>
      </w:r>
    </w:p>
    <w:p w:rsidR="009072DB" w:rsidRPr="009C238A" w:rsidRDefault="009072DB" w:rsidP="009072DB">
      <w:pPr>
        <w:spacing w:before="240"/>
        <w:ind w:right="-58"/>
        <w:jc w:val="both"/>
        <w:rPr>
          <w:lang w:val="en-US"/>
        </w:rPr>
      </w:pPr>
      <w:r w:rsidRPr="009C238A">
        <w:rPr>
          <w:lang w:val="en-US"/>
        </w:rPr>
        <w:t>As stated pre</w:t>
      </w:r>
      <w:r w:rsidR="00CA79D1">
        <w:rPr>
          <w:lang w:val="en-US"/>
        </w:rPr>
        <w:t>viously, the currency</w:t>
      </w:r>
      <w:r w:rsidRPr="009C238A">
        <w:rPr>
          <w:lang w:val="en-US"/>
        </w:rPr>
        <w:t xml:space="preserve"> market </w:t>
      </w:r>
      <w:r w:rsidR="00CA79D1">
        <w:rPr>
          <w:lang w:val="en-US"/>
        </w:rPr>
        <w:t>showed an appreciation</w:t>
      </w:r>
      <w:r w:rsidR="003D5AB0">
        <w:rPr>
          <w:lang w:val="en-US"/>
        </w:rPr>
        <w:t xml:space="preserve"> of </w:t>
      </w:r>
      <w:r w:rsidRPr="009C238A">
        <w:rPr>
          <w:lang w:val="en-US"/>
        </w:rPr>
        <w:t>the Euro appreciated against almost all currencies used by the Group, with a negative impact on the third quarter sales of</w:t>
      </w:r>
      <w:r w:rsidR="003D5AB0">
        <w:rPr>
          <w:lang w:val="en-US"/>
        </w:rPr>
        <w:t xml:space="preserve"> approximately</w:t>
      </w:r>
      <w:r w:rsidRPr="009C238A">
        <w:rPr>
          <w:lang w:val="en-US"/>
        </w:rPr>
        <w:t xml:space="preserve"> 4.0 million euros compared to the third quarter of 2012. </w:t>
      </w:r>
    </w:p>
    <w:p w:rsidR="009072DB" w:rsidRPr="009C238A" w:rsidRDefault="009072DB" w:rsidP="009072DB">
      <w:pPr>
        <w:spacing w:before="240"/>
        <w:ind w:right="-58"/>
        <w:jc w:val="both"/>
        <w:rPr>
          <w:color w:val="000000" w:themeColor="text1"/>
          <w:lang w:val="en-US"/>
        </w:rPr>
      </w:pPr>
      <w:r w:rsidRPr="009C238A">
        <w:rPr>
          <w:color w:val="000000" w:themeColor="text1"/>
          <w:lang w:val="en-US"/>
        </w:rPr>
        <w:t>In detail:</w:t>
      </w:r>
    </w:p>
    <w:p w:rsidR="009072DB" w:rsidRPr="009C238A" w:rsidRDefault="009072DB" w:rsidP="009072DB">
      <w:pPr>
        <w:pStyle w:val="Paragrafoelenco"/>
        <w:numPr>
          <w:ilvl w:val="0"/>
          <w:numId w:val="4"/>
        </w:numPr>
        <w:spacing w:before="240"/>
        <w:ind w:left="360" w:right="-58" w:hanging="331"/>
        <w:jc w:val="both"/>
        <w:rPr>
          <w:color w:val="000000" w:themeColor="text1"/>
          <w:lang w:val="en-US"/>
        </w:rPr>
      </w:pPr>
      <w:r w:rsidRPr="009C238A">
        <w:rPr>
          <w:color w:val="000000" w:themeColor="text1"/>
          <w:lang w:val="en-US"/>
        </w:rPr>
        <w:t>21.1% growth at constant exchange rate</w:t>
      </w:r>
      <w:r w:rsidR="003D5AB0">
        <w:rPr>
          <w:color w:val="000000" w:themeColor="text1"/>
          <w:lang w:val="en-US"/>
        </w:rPr>
        <w:t>s</w:t>
      </w:r>
      <w:r w:rsidRPr="009C238A">
        <w:rPr>
          <w:color w:val="000000" w:themeColor="text1"/>
          <w:lang w:val="en-US"/>
        </w:rPr>
        <w:t xml:space="preserve"> (+18.4% at current exchange rate</w:t>
      </w:r>
      <w:r w:rsidR="003D5AB0">
        <w:rPr>
          <w:color w:val="000000" w:themeColor="text1"/>
          <w:lang w:val="en-US"/>
        </w:rPr>
        <w:t>s</w:t>
      </w:r>
      <w:r w:rsidRPr="009C238A">
        <w:rPr>
          <w:color w:val="000000" w:themeColor="text1"/>
          <w:lang w:val="en-US"/>
        </w:rPr>
        <w:t xml:space="preserve">), compared with the same period last year, of CLIA technology product line, net of Vitamin D, driven by the expansion of LIAISON XL installed base and products launched on the market in the past quarters. </w:t>
      </w:r>
    </w:p>
    <w:p w:rsidR="009072DB" w:rsidRPr="009C238A" w:rsidRDefault="009072DB" w:rsidP="009072DB">
      <w:pPr>
        <w:pStyle w:val="Paragrafoelenco"/>
        <w:numPr>
          <w:ilvl w:val="0"/>
          <w:numId w:val="4"/>
        </w:numPr>
        <w:spacing w:before="240"/>
        <w:ind w:left="360" w:right="-58" w:hanging="331"/>
        <w:jc w:val="both"/>
        <w:rPr>
          <w:lang w:val="en-US"/>
        </w:rPr>
      </w:pPr>
      <w:r w:rsidRPr="009C238A">
        <w:rPr>
          <w:color w:val="000000" w:themeColor="text1"/>
          <w:lang w:val="en-US"/>
        </w:rPr>
        <w:t>6.3% decline at constant exchange rate</w:t>
      </w:r>
      <w:r w:rsidR="003D5AB0">
        <w:rPr>
          <w:color w:val="000000" w:themeColor="text1"/>
          <w:lang w:val="en-US"/>
        </w:rPr>
        <w:t>s</w:t>
      </w:r>
      <w:r w:rsidRPr="009C238A">
        <w:rPr>
          <w:color w:val="000000" w:themeColor="text1"/>
          <w:lang w:val="en-US"/>
        </w:rPr>
        <w:t xml:space="preserve"> in Vitamin D sales (-11.1% at current exchange rate</w:t>
      </w:r>
      <w:r w:rsidR="003D5AB0">
        <w:rPr>
          <w:color w:val="000000" w:themeColor="text1"/>
          <w:lang w:val="en-US"/>
        </w:rPr>
        <w:t>s</w:t>
      </w:r>
      <w:r w:rsidRPr="009C238A">
        <w:rPr>
          <w:color w:val="000000" w:themeColor="text1"/>
          <w:lang w:val="en-US"/>
        </w:rPr>
        <w:t>), with different trends depending on the geographical areas</w:t>
      </w:r>
      <w:r w:rsidRPr="009C238A">
        <w:rPr>
          <w:lang w:val="en-US"/>
        </w:rPr>
        <w:t>: steady growth in Italy, Germany, Brazil and Australia, contraction in France and North America. The United States market confirms the slowdown in sales decrease due to steady volumes when compared with 2012 and the attenuation of the negative impact deriving from the price renegotiation which occurred in the previous quarters;</w:t>
      </w:r>
    </w:p>
    <w:p w:rsidR="009072DB" w:rsidRPr="009C238A" w:rsidRDefault="009072DB" w:rsidP="009072DB">
      <w:pPr>
        <w:pStyle w:val="Paragrafoelenco"/>
        <w:numPr>
          <w:ilvl w:val="0"/>
          <w:numId w:val="4"/>
        </w:numPr>
        <w:spacing w:before="240"/>
        <w:ind w:left="360" w:right="-58" w:hanging="331"/>
        <w:jc w:val="both"/>
        <w:rPr>
          <w:lang w:val="en-US"/>
        </w:rPr>
      </w:pPr>
      <w:r w:rsidRPr="009C238A">
        <w:rPr>
          <w:lang w:val="en-US"/>
        </w:rPr>
        <w:t>higher instruments and consumables sales, (+10.3% at constant exchange rate</w:t>
      </w:r>
      <w:r w:rsidR="003D5AB0">
        <w:rPr>
          <w:lang w:val="en-US"/>
        </w:rPr>
        <w:t>s</w:t>
      </w:r>
      <w:r w:rsidRPr="009C238A">
        <w:rPr>
          <w:lang w:val="en-US"/>
        </w:rPr>
        <w:t>, +5.2% at current exchange rate</w:t>
      </w:r>
      <w:r w:rsidR="003D5AB0">
        <w:rPr>
          <w:lang w:val="en-US"/>
        </w:rPr>
        <w:t>s</w:t>
      </w:r>
      <w:r w:rsidRPr="009C238A">
        <w:rPr>
          <w:lang w:val="en-US"/>
        </w:rPr>
        <w:t>), with a positive impact on the future revenues deriving from the sales of tests performed on these systems;</w:t>
      </w:r>
    </w:p>
    <w:p w:rsidR="009072DB" w:rsidRPr="009C238A" w:rsidRDefault="009072DB" w:rsidP="009072DB">
      <w:pPr>
        <w:pStyle w:val="Paragrafoelenco"/>
        <w:numPr>
          <w:ilvl w:val="0"/>
          <w:numId w:val="4"/>
        </w:numPr>
        <w:spacing w:before="240"/>
        <w:ind w:left="360" w:right="-58" w:hanging="331"/>
        <w:jc w:val="both"/>
        <w:rPr>
          <w:color w:val="000000" w:themeColor="text1"/>
          <w:lang w:val="en-US"/>
        </w:rPr>
      </w:pPr>
      <w:r w:rsidRPr="009C238A">
        <w:rPr>
          <w:color w:val="000000" w:themeColor="text1"/>
          <w:lang w:val="en-US"/>
        </w:rPr>
        <w:t xml:space="preserve">The expansion of installed base: 146 new instruments have been placed, totaling 5,206 units installed </w:t>
      </w:r>
      <w:r w:rsidR="00B63713">
        <w:rPr>
          <w:color w:val="000000" w:themeColor="text1"/>
          <w:lang w:val="en-US"/>
        </w:rPr>
        <w:t>at September 30, 2013</w:t>
      </w:r>
      <w:r w:rsidRPr="009C238A">
        <w:rPr>
          <w:color w:val="000000" w:themeColor="text1"/>
          <w:lang w:val="en-US"/>
        </w:rPr>
        <w:t xml:space="preserve">. LIAISON XL new placements </w:t>
      </w:r>
      <w:r w:rsidR="00B63713">
        <w:rPr>
          <w:color w:val="000000" w:themeColor="text1"/>
          <w:lang w:val="en-US"/>
        </w:rPr>
        <w:t xml:space="preserve">in the third quarter of 2013 </w:t>
      </w:r>
      <w:r w:rsidRPr="009C238A">
        <w:rPr>
          <w:color w:val="000000" w:themeColor="text1"/>
          <w:lang w:val="en-US"/>
        </w:rPr>
        <w:t>amounted to 124, including 63 units in the validation phase at customers facilities.</w:t>
      </w:r>
    </w:p>
    <w:p w:rsidR="009072DB" w:rsidRPr="009C238A" w:rsidRDefault="009072DB" w:rsidP="009072DB">
      <w:pPr>
        <w:spacing w:before="240"/>
        <w:ind w:right="-58"/>
        <w:jc w:val="both"/>
        <w:rPr>
          <w:color w:val="000000" w:themeColor="text1"/>
          <w:lang w:val="en-US"/>
        </w:rPr>
      </w:pPr>
    </w:p>
    <w:p w:rsidR="009072DB" w:rsidRPr="009C238A" w:rsidRDefault="009072DB" w:rsidP="009072DB">
      <w:pPr>
        <w:spacing w:before="240"/>
        <w:ind w:right="-58"/>
        <w:jc w:val="both"/>
        <w:rPr>
          <w:color w:val="000000" w:themeColor="text1"/>
          <w:lang w:val="en-US"/>
        </w:rPr>
      </w:pPr>
      <w:r w:rsidRPr="009C238A">
        <w:rPr>
          <w:color w:val="000000" w:themeColor="text1"/>
          <w:lang w:val="en-US"/>
        </w:rPr>
        <w:t>As a result of the above, net of Vitamin D, the Group’s total revenues increased by 8.3% at constant exchange rate</w:t>
      </w:r>
      <w:r w:rsidR="003D5AB0">
        <w:rPr>
          <w:color w:val="000000" w:themeColor="text1"/>
          <w:lang w:val="en-US"/>
        </w:rPr>
        <w:t>s</w:t>
      </w:r>
      <w:r w:rsidRPr="009C238A">
        <w:rPr>
          <w:color w:val="000000" w:themeColor="text1"/>
          <w:lang w:val="en-US"/>
        </w:rPr>
        <w:t xml:space="preserve"> (+4.9% at current exchange rate</w:t>
      </w:r>
      <w:r w:rsidR="003D5AB0">
        <w:rPr>
          <w:color w:val="000000" w:themeColor="text1"/>
          <w:lang w:val="en-US"/>
        </w:rPr>
        <w:t>s</w:t>
      </w:r>
      <w:r w:rsidRPr="009C238A">
        <w:rPr>
          <w:color w:val="000000" w:themeColor="text1"/>
          <w:lang w:val="en-US"/>
        </w:rPr>
        <w:t>) compared with the same period in 2012.</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In the third quarter of 2013, the gross profit amounted to 70,683 thousand euros, with a loss of 1,930 thousand euros when compared with 72,613 thousand euros in the same period in 2012. The ratio of gross profit to revenues decreased from 69.5% to 67.8%, as a result of the different mix of sales, even though in line with the previous quarters.</w:t>
      </w:r>
    </w:p>
    <w:p w:rsidR="009072DB" w:rsidRPr="009C238A" w:rsidRDefault="009072DB" w:rsidP="009072DB">
      <w:pPr>
        <w:spacing w:before="240" w:after="240"/>
        <w:ind w:right="-54"/>
        <w:jc w:val="both"/>
        <w:rPr>
          <w:lang w:val="en-US"/>
        </w:rPr>
      </w:pPr>
      <w:r w:rsidRPr="009C238A">
        <w:rPr>
          <w:color w:val="000000" w:themeColor="text1"/>
          <w:lang w:val="en-US"/>
        </w:rPr>
        <w:lastRenderedPageBreak/>
        <w:t>In the third quarter of 2013, operating expenses totaled 37,232 thousand euros, up by 0.7 percentage points or 248 thousand euros compared</w:t>
      </w:r>
      <w:r w:rsidR="00815361">
        <w:rPr>
          <w:color w:val="000000" w:themeColor="text1"/>
          <w:lang w:val="en-US"/>
        </w:rPr>
        <w:t xml:space="preserve"> with the same period in 2012, </w:t>
      </w:r>
      <w:r w:rsidRPr="009C238A">
        <w:rPr>
          <w:color w:val="000000" w:themeColor="text1"/>
          <w:lang w:val="en-US"/>
        </w:rPr>
        <w:t>due to the expenses for the start-up of the molecular business</w:t>
      </w:r>
      <w:r w:rsidRPr="009C238A">
        <w:rPr>
          <w:lang w:val="en-US"/>
        </w:rPr>
        <w:t xml:space="preserve"> and the technical support for the growing installed base at customers facilities.</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Other operating expenses equal to 1,736 thousand euros, increased by 511 thousand euros compared with the third quarter of 2012. This item reflects the exchange rate fluctuation: the amount includes a negative translation difference of 798 thousand euros related to commercial items (189 thousand euros in the same period of 2012).</w:t>
      </w:r>
    </w:p>
    <w:p w:rsidR="009072DB" w:rsidRPr="009C238A" w:rsidRDefault="00CE62DC" w:rsidP="009072DB">
      <w:pPr>
        <w:spacing w:before="240" w:after="240"/>
        <w:ind w:right="-54"/>
        <w:jc w:val="both"/>
        <w:rPr>
          <w:bCs/>
          <w:color w:val="000000" w:themeColor="text1"/>
          <w:lang w:val="en-US"/>
        </w:rPr>
      </w:pPr>
      <w:r>
        <w:rPr>
          <w:color w:val="000000" w:themeColor="text1"/>
          <w:lang w:val="en-US"/>
        </w:rPr>
        <w:t>EBITDA</w:t>
      </w:r>
      <w:r w:rsidR="009072DB" w:rsidRPr="009C238A">
        <w:rPr>
          <w:color w:val="000000" w:themeColor="text1"/>
          <w:lang w:val="en-US"/>
        </w:rPr>
        <w:t xml:space="preserve"> amounted to 38,628 thousand euros (41,760 thousand euros in 2012). The ratio of </w:t>
      </w:r>
      <w:r>
        <w:rPr>
          <w:color w:val="000000" w:themeColor="text1"/>
          <w:lang w:val="en-US"/>
        </w:rPr>
        <w:t>EBITDA</w:t>
      </w:r>
      <w:r w:rsidR="009072DB" w:rsidRPr="009C238A">
        <w:rPr>
          <w:color w:val="000000" w:themeColor="text1"/>
          <w:lang w:val="en-US"/>
        </w:rPr>
        <w:t xml:space="preserve"> to revenues decreased from 40% in the third quarter of 2012 to 37.1% in the third quarter of 2013</w:t>
      </w:r>
      <w:r w:rsidR="009072DB" w:rsidRPr="009C238A">
        <w:rPr>
          <w:bCs/>
          <w:color w:val="000000" w:themeColor="text1"/>
          <w:lang w:val="en-US"/>
        </w:rPr>
        <w:t xml:space="preserve">. The difference of 3,131 thousand euros between these two quarters is mainly the result of the negative effect related to the exchange rates fluctuation above described equal to </w:t>
      </w:r>
      <w:r w:rsidR="000777C4">
        <w:rPr>
          <w:bCs/>
          <w:color w:val="000000" w:themeColor="text1"/>
          <w:lang w:val="en-US"/>
        </w:rPr>
        <w:t xml:space="preserve">over </w:t>
      </w:r>
      <w:r w:rsidR="009072DB" w:rsidRPr="009C238A">
        <w:rPr>
          <w:bCs/>
          <w:color w:val="000000" w:themeColor="text1"/>
          <w:lang w:val="en-US"/>
        </w:rPr>
        <w:t xml:space="preserve">2.0 million euros. Excluding the molecular business contribution in the periods under comparison, and the exchange rates impact, </w:t>
      </w:r>
      <w:r>
        <w:rPr>
          <w:bCs/>
          <w:color w:val="000000" w:themeColor="text1"/>
          <w:lang w:val="en-US"/>
        </w:rPr>
        <w:t>EBITDA</w:t>
      </w:r>
      <w:r w:rsidR="009072DB" w:rsidRPr="009C238A">
        <w:rPr>
          <w:bCs/>
          <w:color w:val="000000" w:themeColor="text1"/>
          <w:lang w:val="en-US"/>
        </w:rPr>
        <w:t xml:space="preserve"> would be equal to 39.5% of revenues (about 42% in 2012), confirming the marginality of the</w:t>
      </w:r>
      <w:r w:rsidR="00680A30">
        <w:rPr>
          <w:bCs/>
          <w:color w:val="000000" w:themeColor="text1"/>
          <w:lang w:val="en-US"/>
        </w:rPr>
        <w:t xml:space="preserve"> two</w:t>
      </w:r>
      <w:r w:rsidR="009072DB" w:rsidRPr="009C238A">
        <w:rPr>
          <w:bCs/>
          <w:color w:val="000000" w:themeColor="text1"/>
          <w:lang w:val="en-US"/>
        </w:rPr>
        <w:t xml:space="preserve"> previous quarters. </w:t>
      </w:r>
    </w:p>
    <w:p w:rsidR="009072DB" w:rsidRPr="009C238A" w:rsidRDefault="009072DB" w:rsidP="009072DB">
      <w:pPr>
        <w:spacing w:before="240" w:after="240"/>
        <w:ind w:right="-54"/>
        <w:jc w:val="both"/>
        <w:rPr>
          <w:bCs/>
          <w:color w:val="000000" w:themeColor="text1"/>
          <w:lang w:val="en-US"/>
        </w:rPr>
      </w:pPr>
      <w:r w:rsidRPr="009C238A">
        <w:rPr>
          <w:color w:val="000000" w:themeColor="text1"/>
          <w:lang w:val="en-US"/>
        </w:rPr>
        <w:t>EBIT decreased from 34,404 thousand euros in 2012 to 31,715 thousand euros in the third quarter of 2013, equal to 30.4% of revenues, down by 2.5% compared with the same period in 2012.</w:t>
      </w:r>
    </w:p>
    <w:p w:rsidR="009072DB" w:rsidRPr="009C238A" w:rsidRDefault="009072DB" w:rsidP="009072DB">
      <w:pPr>
        <w:tabs>
          <w:tab w:val="left" w:pos="360"/>
        </w:tabs>
        <w:jc w:val="both"/>
        <w:rPr>
          <w:color w:val="000000" w:themeColor="text1"/>
          <w:lang w:val="en-US"/>
        </w:rPr>
      </w:pPr>
      <w:r w:rsidRPr="009C238A">
        <w:rPr>
          <w:color w:val="000000" w:themeColor="text1"/>
          <w:lang w:val="en-US"/>
        </w:rPr>
        <w:t>Net financial expense</w:t>
      </w:r>
      <w:r w:rsidR="00DA4937">
        <w:rPr>
          <w:color w:val="000000" w:themeColor="text1"/>
          <w:lang w:val="en-US"/>
        </w:rPr>
        <w:t>s</w:t>
      </w:r>
      <w:r w:rsidRPr="009C238A">
        <w:rPr>
          <w:color w:val="000000" w:themeColor="text1"/>
          <w:lang w:val="en-US"/>
        </w:rPr>
        <w:t xml:space="preserve"> totaled 937 thousand euros, compared with net financial expense</w:t>
      </w:r>
      <w:r w:rsidR="00DA4937">
        <w:rPr>
          <w:color w:val="000000" w:themeColor="text1"/>
          <w:lang w:val="en-US"/>
        </w:rPr>
        <w:t>s</w:t>
      </w:r>
      <w:r w:rsidRPr="009C238A">
        <w:rPr>
          <w:color w:val="000000" w:themeColor="text1"/>
          <w:lang w:val="en-US"/>
        </w:rPr>
        <w:t xml:space="preserve"> of 578 thousand euros in the third quarter of 2012. The increase of 359 thousand euros, is mainly related to the negative translation effect of the period, equal to 416 thousand euros (92 thousand euros in the third quarter of 2012) and to the financial balances of subsidiaries that use currencies different from the Group’s reporting currency.</w:t>
      </w:r>
    </w:p>
    <w:p w:rsidR="009072DB" w:rsidRPr="009C238A" w:rsidRDefault="009072DB" w:rsidP="009072DB">
      <w:pPr>
        <w:spacing w:before="240" w:after="240" w:line="240" w:lineRule="atLeast"/>
        <w:ind w:right="-54"/>
        <w:jc w:val="both"/>
        <w:rPr>
          <w:color w:val="000000" w:themeColor="text1"/>
          <w:lang w:val="en-US"/>
        </w:rPr>
      </w:pPr>
      <w:r w:rsidRPr="009C238A">
        <w:rPr>
          <w:color w:val="000000" w:themeColor="text1"/>
          <w:lang w:val="en-US"/>
        </w:rPr>
        <w:t>Income taxes totaled 10,764 thousand euros in the third quarter of 2013 (12,410 thousand euros in the same period of 2012). The tax rate decreased from 36.7% in the third quarter of 2012 to 35% in the third quarter of 2013, due mainly to the difference in the scheduling of non-deductible tax withholdings calculated on the payment of dividends to the Group’s Parent company.</w:t>
      </w:r>
    </w:p>
    <w:p w:rsidR="009072DB" w:rsidRPr="009C238A" w:rsidRDefault="009072DB" w:rsidP="009072DB">
      <w:pPr>
        <w:spacing w:before="240" w:after="240" w:line="240" w:lineRule="atLeast"/>
        <w:ind w:right="-54"/>
        <w:jc w:val="both"/>
        <w:rPr>
          <w:color w:val="000000" w:themeColor="text1"/>
          <w:lang w:val="en-US"/>
        </w:rPr>
      </w:pPr>
      <w:r w:rsidRPr="009C238A">
        <w:rPr>
          <w:color w:val="000000" w:themeColor="text1"/>
          <w:lang w:val="en-US"/>
        </w:rPr>
        <w:t>Finally, in the third quarter of 2013 the net profit totaled 20,014 thousand euros, equal to 19.2% of revenues compared with the net profit of 21,416 thousand euros in the same period in 2012. It should be noted that the decline is mainly attributable t</w:t>
      </w:r>
      <w:r w:rsidR="00815361">
        <w:rPr>
          <w:color w:val="000000" w:themeColor="text1"/>
          <w:lang w:val="en-US"/>
        </w:rPr>
        <w:t>o the negative impact of unfavo</w:t>
      </w:r>
      <w:r w:rsidRPr="009C238A">
        <w:rPr>
          <w:color w:val="000000" w:themeColor="text1"/>
          <w:lang w:val="en-US"/>
        </w:rPr>
        <w:t>rable exchange rates on the income statement line items.</w:t>
      </w:r>
    </w:p>
    <w:p w:rsidR="009072DB" w:rsidRPr="009C238A" w:rsidRDefault="009072DB" w:rsidP="009072DB">
      <w:pPr>
        <w:spacing w:before="240" w:after="240" w:line="240" w:lineRule="atLeast"/>
        <w:ind w:right="-54"/>
        <w:jc w:val="both"/>
        <w:rPr>
          <w:color w:val="000000" w:themeColor="text1"/>
          <w:lang w:val="en-US"/>
        </w:rPr>
      </w:pPr>
      <w:r w:rsidRPr="009C238A">
        <w:rPr>
          <w:color w:val="000000" w:themeColor="text1"/>
          <w:lang w:val="en-US"/>
        </w:rPr>
        <w:t>The table that follows shows the consolidated income statement for the quarters ended September 30, 2013 and September 30, 2012:</w:t>
      </w:r>
    </w:p>
    <w:p w:rsidR="009072DB" w:rsidRPr="009C238A" w:rsidRDefault="009072DB" w:rsidP="009072DB">
      <w:pPr>
        <w:rPr>
          <w:lang w:val="en-US"/>
        </w:rPr>
      </w:pPr>
      <w:r w:rsidRPr="009C238A">
        <w:rPr>
          <w:lang w:val="en-US"/>
        </w:rPr>
        <w:br w:type="page"/>
      </w:r>
    </w:p>
    <w:p w:rsidR="009072DB" w:rsidRPr="009C238A" w:rsidRDefault="009072DB" w:rsidP="009072DB">
      <w:pPr>
        <w:jc w:val="both"/>
        <w:rPr>
          <w:lang w:val="en-US"/>
        </w:rPr>
      </w:pPr>
    </w:p>
    <w:p w:rsidR="009072DB" w:rsidRPr="009C238A" w:rsidRDefault="009072DB" w:rsidP="009072DB">
      <w:pPr>
        <w:jc w:val="center"/>
        <w:rPr>
          <w:b/>
          <w:bCs/>
          <w:color w:val="000000" w:themeColor="text1"/>
          <w:lang w:val="en-US"/>
        </w:rPr>
      </w:pPr>
      <w:r w:rsidRPr="009C238A">
        <w:rPr>
          <w:b/>
          <w:bCs/>
          <w:color w:val="000000" w:themeColor="text1"/>
          <w:lang w:val="en-US"/>
        </w:rPr>
        <w:t>CONSOLIDATED INCOME STATEMENT</w:t>
      </w:r>
    </w:p>
    <w:p w:rsidR="009072DB" w:rsidRPr="009C238A" w:rsidRDefault="009072DB" w:rsidP="009072DB">
      <w:pPr>
        <w:jc w:val="center"/>
        <w:rPr>
          <w:b/>
          <w:bCs/>
          <w:lang w:val="en-US"/>
        </w:rPr>
      </w:pPr>
    </w:p>
    <w:tbl>
      <w:tblPr>
        <w:tblW w:w="5000" w:type="pct"/>
        <w:tblCellMar>
          <w:left w:w="70" w:type="dxa"/>
          <w:right w:w="70" w:type="dxa"/>
        </w:tblCellMar>
        <w:tblLook w:val="00A0"/>
      </w:tblPr>
      <w:tblGrid>
        <w:gridCol w:w="1284"/>
        <w:gridCol w:w="1989"/>
        <w:gridCol w:w="1649"/>
        <w:gridCol w:w="1649"/>
        <w:gridCol w:w="1604"/>
        <w:gridCol w:w="1604"/>
      </w:tblGrid>
      <w:tr w:rsidR="009072DB" w:rsidRPr="009C238A" w:rsidTr="009072DB">
        <w:trPr>
          <w:trHeight w:val="795"/>
        </w:trPr>
        <w:tc>
          <w:tcPr>
            <w:tcW w:w="1673" w:type="pct"/>
            <w:gridSpan w:val="2"/>
            <w:tcBorders>
              <w:top w:val="single" w:sz="4" w:space="0" w:color="auto"/>
              <w:left w:val="nil"/>
              <w:bottom w:val="single" w:sz="4" w:space="0" w:color="auto"/>
              <w:right w:val="nil"/>
            </w:tcBorders>
            <w:noWrap/>
            <w:vAlign w:val="center"/>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843" w:type="pct"/>
            <w:tcBorders>
              <w:top w:val="single" w:sz="4" w:space="0" w:color="auto"/>
              <w:left w:val="nil"/>
              <w:bottom w:val="single" w:sz="4" w:space="0" w:color="auto"/>
              <w:right w:val="nil"/>
            </w:tcBorders>
            <w:vAlign w:val="center"/>
          </w:tcPr>
          <w:p w:rsidR="002E7022" w:rsidRDefault="009072DB" w:rsidP="002E7022">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w:t>
            </w:r>
          </w:p>
          <w:p w:rsidR="009072DB" w:rsidRPr="009C238A" w:rsidRDefault="009072DB" w:rsidP="002E7022">
            <w:pPr>
              <w:jc w:val="right"/>
              <w:rPr>
                <w:b/>
                <w:bCs/>
                <w:sz w:val="20"/>
                <w:szCs w:val="20"/>
                <w:lang w:val="en-US"/>
              </w:rPr>
            </w:pPr>
            <w:r w:rsidRPr="009C238A">
              <w:rPr>
                <w:b/>
                <w:bCs/>
                <w:sz w:val="20"/>
                <w:szCs w:val="20"/>
                <w:lang w:val="en-US"/>
              </w:rPr>
              <w:t>2013</w:t>
            </w:r>
          </w:p>
        </w:tc>
        <w:tc>
          <w:tcPr>
            <w:tcW w:w="843"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color w:val="000000" w:themeColor="text1"/>
                <w:sz w:val="20"/>
                <w:szCs w:val="20"/>
                <w:lang w:val="en-US"/>
              </w:rPr>
              <w:t>as a% of revenues</w:t>
            </w:r>
          </w:p>
        </w:tc>
        <w:tc>
          <w:tcPr>
            <w:tcW w:w="820" w:type="pct"/>
            <w:tcBorders>
              <w:top w:val="single" w:sz="4" w:space="0" w:color="auto"/>
              <w:left w:val="nil"/>
              <w:bottom w:val="single" w:sz="4" w:space="0" w:color="auto"/>
              <w:right w:val="nil"/>
            </w:tcBorders>
            <w:vAlign w:val="center"/>
          </w:tcPr>
          <w:p w:rsidR="000476BC" w:rsidRDefault="009072DB" w:rsidP="000476BC">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000476BC">
              <w:rPr>
                <w:b/>
                <w:bCs/>
                <w:sz w:val="20"/>
                <w:szCs w:val="20"/>
                <w:lang w:val="en-US"/>
              </w:rPr>
              <w:t xml:space="preserve"> quarter</w:t>
            </w:r>
          </w:p>
          <w:p w:rsidR="009072DB" w:rsidRPr="009C238A" w:rsidRDefault="000476BC" w:rsidP="000476BC">
            <w:pPr>
              <w:jc w:val="right"/>
              <w:rPr>
                <w:b/>
                <w:bCs/>
                <w:sz w:val="20"/>
                <w:szCs w:val="20"/>
                <w:lang w:val="en-US"/>
              </w:rPr>
            </w:pPr>
            <w:r>
              <w:rPr>
                <w:b/>
                <w:bCs/>
                <w:sz w:val="20"/>
                <w:szCs w:val="20"/>
                <w:lang w:val="en-US"/>
              </w:rPr>
              <w:t>2</w:t>
            </w:r>
            <w:r w:rsidR="009072DB" w:rsidRPr="009C238A">
              <w:rPr>
                <w:b/>
                <w:bCs/>
                <w:sz w:val="20"/>
                <w:szCs w:val="20"/>
                <w:lang w:val="en-US"/>
              </w:rPr>
              <w:t>012</w:t>
            </w:r>
          </w:p>
        </w:tc>
        <w:tc>
          <w:tcPr>
            <w:tcW w:w="820"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color w:val="000000" w:themeColor="text1"/>
                <w:sz w:val="20"/>
                <w:szCs w:val="20"/>
                <w:lang w:val="en-US"/>
              </w:rPr>
              <w:t>as a% of revenues</w:t>
            </w:r>
          </w:p>
        </w:tc>
      </w:tr>
      <w:tr w:rsidR="009072DB" w:rsidRPr="009C238A" w:rsidTr="009072DB">
        <w:trPr>
          <w:trHeight w:val="529"/>
        </w:trPr>
        <w:tc>
          <w:tcPr>
            <w:tcW w:w="1673"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Sales and service revenues</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104,202</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100.0%</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104,455</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100.0%</w:t>
            </w:r>
          </w:p>
        </w:tc>
      </w:tr>
      <w:tr w:rsidR="009072DB" w:rsidRPr="009C238A" w:rsidTr="009072DB">
        <w:trPr>
          <w:trHeight w:val="503"/>
        </w:trPr>
        <w:tc>
          <w:tcPr>
            <w:tcW w:w="1673"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Cost of sales</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(33,519)</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32.2%</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(31,842)</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30.5%</w:t>
            </w:r>
          </w:p>
        </w:tc>
      </w:tr>
      <w:tr w:rsidR="009072DB" w:rsidRPr="009C238A" w:rsidTr="009072DB">
        <w:trPr>
          <w:trHeight w:val="428"/>
        </w:trPr>
        <w:tc>
          <w:tcPr>
            <w:tcW w:w="1673" w:type="pct"/>
            <w:gridSpan w:val="2"/>
            <w:tcBorders>
              <w:top w:val="single" w:sz="4" w:space="0" w:color="auto"/>
              <w:left w:val="nil"/>
              <w:bottom w:val="double" w:sz="6"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Gross profit</w:t>
            </w:r>
          </w:p>
        </w:tc>
        <w:tc>
          <w:tcPr>
            <w:tcW w:w="843"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70,683</w:t>
            </w:r>
          </w:p>
        </w:tc>
        <w:tc>
          <w:tcPr>
            <w:tcW w:w="843"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67.8%</w:t>
            </w:r>
          </w:p>
        </w:tc>
        <w:tc>
          <w:tcPr>
            <w:tcW w:w="820"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72,613</w:t>
            </w:r>
          </w:p>
        </w:tc>
        <w:tc>
          <w:tcPr>
            <w:tcW w:w="820"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69.5%</w:t>
            </w:r>
          </w:p>
        </w:tc>
      </w:tr>
      <w:tr w:rsidR="009072DB" w:rsidRPr="009C238A" w:rsidTr="009072DB">
        <w:trPr>
          <w:trHeight w:val="503"/>
        </w:trPr>
        <w:tc>
          <w:tcPr>
            <w:tcW w:w="1673"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Sales and marketing expenses</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(20,303)</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19.5%</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(20,196)</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19.3%</w:t>
            </w:r>
          </w:p>
        </w:tc>
      </w:tr>
      <w:tr w:rsidR="009072DB" w:rsidRPr="009C238A" w:rsidTr="009072DB">
        <w:trPr>
          <w:trHeight w:val="503"/>
        </w:trPr>
        <w:tc>
          <w:tcPr>
            <w:tcW w:w="1673"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Research and development costs</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(5,524)</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5.3%</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(5,585)</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5.3%</w:t>
            </w:r>
          </w:p>
        </w:tc>
      </w:tr>
      <w:tr w:rsidR="009072DB" w:rsidRPr="009C238A" w:rsidTr="009072DB">
        <w:trPr>
          <w:trHeight w:val="435"/>
        </w:trPr>
        <w:tc>
          <w:tcPr>
            <w:tcW w:w="1673"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General and administrative expenses</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(11,405)</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10.9%</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(11,203)</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10.7%</w:t>
            </w:r>
          </w:p>
        </w:tc>
      </w:tr>
      <w:tr w:rsidR="009072DB" w:rsidRPr="009C238A" w:rsidTr="009072DB">
        <w:trPr>
          <w:trHeight w:val="435"/>
        </w:trPr>
        <w:tc>
          <w:tcPr>
            <w:tcW w:w="1673" w:type="pct"/>
            <w:gridSpan w:val="2"/>
            <w:tcBorders>
              <w:top w:val="single" w:sz="4" w:space="0" w:color="auto"/>
              <w:left w:val="nil"/>
              <w:bottom w:val="single" w:sz="4" w:space="0" w:color="auto"/>
              <w:right w:val="nil"/>
            </w:tcBorders>
            <w:noWrap/>
            <w:vAlign w:val="center"/>
          </w:tcPr>
          <w:p w:rsidR="009072DB" w:rsidRPr="009C238A" w:rsidRDefault="009072DB" w:rsidP="009072DB">
            <w:pPr>
              <w:rPr>
                <w:b/>
                <w:bCs/>
                <w:sz w:val="20"/>
                <w:szCs w:val="20"/>
                <w:lang w:val="en-US"/>
              </w:rPr>
            </w:pPr>
            <w:r w:rsidRPr="009C238A">
              <w:rPr>
                <w:b/>
                <w:color w:val="000000" w:themeColor="text1"/>
                <w:sz w:val="20"/>
                <w:szCs w:val="20"/>
                <w:lang w:val="en-US"/>
              </w:rPr>
              <w:t>Total operating expenses</w:t>
            </w:r>
          </w:p>
        </w:tc>
        <w:tc>
          <w:tcPr>
            <w:tcW w:w="843"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(37,232)</w:t>
            </w:r>
          </w:p>
        </w:tc>
        <w:tc>
          <w:tcPr>
            <w:tcW w:w="843"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35.7%</w:t>
            </w:r>
          </w:p>
        </w:tc>
        <w:tc>
          <w:tcPr>
            <w:tcW w:w="820"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(36,984)</w:t>
            </w:r>
          </w:p>
        </w:tc>
        <w:tc>
          <w:tcPr>
            <w:tcW w:w="820"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35.4%</w:t>
            </w:r>
          </w:p>
        </w:tc>
      </w:tr>
      <w:tr w:rsidR="009072DB" w:rsidRPr="009C238A" w:rsidTr="009072DB">
        <w:trPr>
          <w:trHeight w:val="503"/>
        </w:trPr>
        <w:tc>
          <w:tcPr>
            <w:tcW w:w="1673"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Other operating income (expense)</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(1,736)</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1.7%</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(1,225)</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1.2%</w:t>
            </w:r>
          </w:p>
        </w:tc>
      </w:tr>
      <w:tr w:rsidR="009072DB" w:rsidRPr="009C238A" w:rsidTr="009072DB">
        <w:trPr>
          <w:trHeight w:val="503"/>
        </w:trPr>
        <w:tc>
          <w:tcPr>
            <w:tcW w:w="657" w:type="pct"/>
            <w:tcBorders>
              <w:top w:val="nil"/>
              <w:left w:val="nil"/>
              <w:bottom w:val="nil"/>
              <w:right w:val="nil"/>
            </w:tcBorders>
            <w:noWrap/>
            <w:vAlign w:val="center"/>
          </w:tcPr>
          <w:p w:rsidR="009072DB" w:rsidRPr="009C238A" w:rsidRDefault="009072DB" w:rsidP="009072DB">
            <w:pPr>
              <w:jc w:val="center"/>
              <w:rPr>
                <w:sz w:val="20"/>
                <w:szCs w:val="20"/>
                <w:lang w:val="en-US"/>
              </w:rPr>
            </w:pPr>
          </w:p>
        </w:tc>
        <w:tc>
          <w:tcPr>
            <w:tcW w:w="1017" w:type="pct"/>
            <w:tcBorders>
              <w:top w:val="nil"/>
              <w:left w:val="nil"/>
              <w:bottom w:val="nil"/>
              <w:right w:val="nil"/>
            </w:tcBorders>
            <w:noWrap/>
            <w:vAlign w:val="center"/>
          </w:tcPr>
          <w:p w:rsidR="009072DB" w:rsidRPr="009C238A" w:rsidRDefault="009072DB" w:rsidP="009072DB">
            <w:pPr>
              <w:rPr>
                <w:i/>
                <w:iCs/>
                <w:sz w:val="20"/>
                <w:szCs w:val="20"/>
                <w:lang w:val="en-US"/>
              </w:rPr>
            </w:pPr>
            <w:r w:rsidRPr="009C238A">
              <w:rPr>
                <w:i/>
                <w:iCs/>
                <w:color w:val="000000" w:themeColor="text1"/>
                <w:sz w:val="20"/>
                <w:szCs w:val="20"/>
                <w:lang w:val="en-US"/>
              </w:rPr>
              <w:t>Non-recurring amount</w:t>
            </w:r>
          </w:p>
        </w:tc>
        <w:tc>
          <w:tcPr>
            <w:tcW w:w="843" w:type="pct"/>
            <w:tcBorders>
              <w:top w:val="nil"/>
              <w:left w:val="nil"/>
              <w:bottom w:val="nil"/>
              <w:right w:val="nil"/>
            </w:tcBorders>
            <w:noWrap/>
            <w:vAlign w:val="center"/>
          </w:tcPr>
          <w:p w:rsidR="009072DB" w:rsidRPr="009C238A" w:rsidRDefault="00B80A60" w:rsidP="009072DB">
            <w:pPr>
              <w:jc w:val="right"/>
              <w:rPr>
                <w:i/>
                <w:iCs/>
                <w:sz w:val="20"/>
                <w:szCs w:val="20"/>
                <w:lang w:val="en-US"/>
              </w:rPr>
            </w:pPr>
            <w:r>
              <w:rPr>
                <w:i/>
                <w:iCs/>
                <w:sz w:val="20"/>
                <w:szCs w:val="20"/>
                <w:lang w:val="en-US"/>
              </w:rPr>
              <w:t>-</w:t>
            </w:r>
          </w:p>
        </w:tc>
        <w:tc>
          <w:tcPr>
            <w:tcW w:w="843" w:type="pct"/>
            <w:tcBorders>
              <w:top w:val="nil"/>
              <w:left w:val="nil"/>
              <w:bottom w:val="nil"/>
              <w:right w:val="nil"/>
            </w:tcBorders>
            <w:noWrap/>
            <w:vAlign w:val="center"/>
          </w:tcPr>
          <w:p w:rsidR="009072DB" w:rsidRPr="009C238A" w:rsidRDefault="00B80A60" w:rsidP="009072DB">
            <w:pPr>
              <w:jc w:val="right"/>
              <w:rPr>
                <w:i/>
                <w:iCs/>
                <w:sz w:val="20"/>
                <w:szCs w:val="20"/>
                <w:lang w:val="en-US"/>
              </w:rPr>
            </w:pPr>
            <w:r>
              <w:rPr>
                <w:i/>
                <w:iCs/>
                <w:sz w:val="20"/>
                <w:szCs w:val="20"/>
                <w:lang w:val="en-US"/>
              </w:rPr>
              <w:t>-</w:t>
            </w:r>
          </w:p>
        </w:tc>
        <w:tc>
          <w:tcPr>
            <w:tcW w:w="820" w:type="pct"/>
            <w:tcBorders>
              <w:top w:val="nil"/>
              <w:left w:val="nil"/>
              <w:bottom w:val="nil"/>
              <w:right w:val="nil"/>
            </w:tcBorders>
            <w:noWrap/>
            <w:vAlign w:val="center"/>
          </w:tcPr>
          <w:p w:rsidR="009072DB" w:rsidRPr="009C238A" w:rsidRDefault="009072DB" w:rsidP="009072DB">
            <w:pPr>
              <w:jc w:val="right"/>
              <w:rPr>
                <w:i/>
                <w:iCs/>
                <w:sz w:val="20"/>
                <w:szCs w:val="20"/>
                <w:lang w:val="en-US"/>
              </w:rPr>
            </w:pPr>
            <w:r w:rsidRPr="009C238A">
              <w:rPr>
                <w:i/>
                <w:iCs/>
                <w:sz w:val="20"/>
                <w:szCs w:val="20"/>
                <w:lang w:val="en-US"/>
              </w:rPr>
              <w:t>(298)</w:t>
            </w:r>
          </w:p>
        </w:tc>
        <w:tc>
          <w:tcPr>
            <w:tcW w:w="820" w:type="pct"/>
            <w:tcBorders>
              <w:top w:val="nil"/>
              <w:left w:val="nil"/>
              <w:bottom w:val="nil"/>
              <w:right w:val="nil"/>
            </w:tcBorders>
            <w:noWrap/>
            <w:vAlign w:val="center"/>
          </w:tcPr>
          <w:p w:rsidR="009072DB" w:rsidRPr="009C238A" w:rsidRDefault="009072DB" w:rsidP="009072DB">
            <w:pPr>
              <w:jc w:val="right"/>
              <w:rPr>
                <w:i/>
                <w:iCs/>
                <w:sz w:val="20"/>
                <w:szCs w:val="20"/>
                <w:lang w:val="en-US"/>
              </w:rPr>
            </w:pPr>
            <w:r w:rsidRPr="009C238A">
              <w:rPr>
                <w:i/>
                <w:iCs/>
                <w:sz w:val="20"/>
                <w:szCs w:val="20"/>
                <w:lang w:val="en-US"/>
              </w:rPr>
              <w:t>0.3%</w:t>
            </w:r>
          </w:p>
        </w:tc>
      </w:tr>
      <w:tr w:rsidR="009072DB" w:rsidRPr="009C238A" w:rsidTr="009072DB">
        <w:trPr>
          <w:trHeight w:val="428"/>
        </w:trPr>
        <w:tc>
          <w:tcPr>
            <w:tcW w:w="1673" w:type="pct"/>
            <w:gridSpan w:val="2"/>
            <w:tcBorders>
              <w:top w:val="single" w:sz="4" w:space="0" w:color="auto"/>
              <w:left w:val="nil"/>
              <w:bottom w:val="double" w:sz="6"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EBIT</w:t>
            </w:r>
          </w:p>
        </w:tc>
        <w:tc>
          <w:tcPr>
            <w:tcW w:w="843"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31,715</w:t>
            </w:r>
          </w:p>
        </w:tc>
        <w:tc>
          <w:tcPr>
            <w:tcW w:w="843"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30.4%</w:t>
            </w:r>
          </w:p>
        </w:tc>
        <w:tc>
          <w:tcPr>
            <w:tcW w:w="820"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34,404</w:t>
            </w:r>
          </w:p>
        </w:tc>
        <w:tc>
          <w:tcPr>
            <w:tcW w:w="820"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32.9%</w:t>
            </w:r>
          </w:p>
        </w:tc>
      </w:tr>
      <w:tr w:rsidR="009072DB" w:rsidRPr="009C238A" w:rsidTr="009072DB">
        <w:trPr>
          <w:trHeight w:val="473"/>
        </w:trPr>
        <w:tc>
          <w:tcPr>
            <w:tcW w:w="1673"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Net financial income (expense)</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(937)</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0.9%</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(578)</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0.6%</w:t>
            </w:r>
          </w:p>
        </w:tc>
      </w:tr>
      <w:tr w:rsidR="009072DB" w:rsidRPr="009C238A" w:rsidTr="009072DB">
        <w:trPr>
          <w:trHeight w:val="503"/>
        </w:trPr>
        <w:tc>
          <w:tcPr>
            <w:tcW w:w="1673" w:type="pct"/>
            <w:gridSpan w:val="2"/>
            <w:tcBorders>
              <w:top w:val="single" w:sz="4" w:space="0" w:color="auto"/>
              <w:left w:val="nil"/>
              <w:bottom w:val="single" w:sz="4"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Profit before taxes</w:t>
            </w:r>
          </w:p>
        </w:tc>
        <w:tc>
          <w:tcPr>
            <w:tcW w:w="843"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30,778</w:t>
            </w:r>
          </w:p>
        </w:tc>
        <w:tc>
          <w:tcPr>
            <w:tcW w:w="843"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29.5%</w:t>
            </w:r>
          </w:p>
        </w:tc>
        <w:tc>
          <w:tcPr>
            <w:tcW w:w="820"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33,826</w:t>
            </w:r>
          </w:p>
        </w:tc>
        <w:tc>
          <w:tcPr>
            <w:tcW w:w="820"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32.4%</w:t>
            </w:r>
          </w:p>
        </w:tc>
      </w:tr>
      <w:tr w:rsidR="009072DB" w:rsidRPr="009C238A" w:rsidTr="009072DB">
        <w:trPr>
          <w:trHeight w:val="503"/>
        </w:trPr>
        <w:tc>
          <w:tcPr>
            <w:tcW w:w="1673"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Income taxes</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(10,764)</w:t>
            </w:r>
          </w:p>
        </w:tc>
        <w:tc>
          <w:tcPr>
            <w:tcW w:w="843"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10.3%</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(12,410)</w:t>
            </w:r>
          </w:p>
        </w:tc>
        <w:tc>
          <w:tcPr>
            <w:tcW w:w="820"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11.9%</w:t>
            </w:r>
          </w:p>
        </w:tc>
      </w:tr>
      <w:tr w:rsidR="009072DB" w:rsidRPr="009C238A" w:rsidTr="009072DB">
        <w:trPr>
          <w:trHeight w:val="469"/>
        </w:trPr>
        <w:tc>
          <w:tcPr>
            <w:tcW w:w="1673" w:type="pct"/>
            <w:gridSpan w:val="2"/>
            <w:tcBorders>
              <w:top w:val="single" w:sz="4" w:space="0" w:color="auto"/>
              <w:left w:val="nil"/>
              <w:bottom w:val="double" w:sz="6"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Net profit</w:t>
            </w:r>
          </w:p>
        </w:tc>
        <w:tc>
          <w:tcPr>
            <w:tcW w:w="843"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20,014</w:t>
            </w:r>
          </w:p>
        </w:tc>
        <w:tc>
          <w:tcPr>
            <w:tcW w:w="843"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19.2%</w:t>
            </w:r>
          </w:p>
        </w:tc>
        <w:tc>
          <w:tcPr>
            <w:tcW w:w="820"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21,416</w:t>
            </w:r>
          </w:p>
        </w:tc>
        <w:tc>
          <w:tcPr>
            <w:tcW w:w="820"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20.5%</w:t>
            </w:r>
          </w:p>
        </w:tc>
      </w:tr>
      <w:tr w:rsidR="009072DB" w:rsidRPr="009C238A" w:rsidTr="009072DB">
        <w:trPr>
          <w:trHeight w:val="428"/>
        </w:trPr>
        <w:tc>
          <w:tcPr>
            <w:tcW w:w="657" w:type="pct"/>
            <w:tcBorders>
              <w:top w:val="nil"/>
              <w:left w:val="nil"/>
              <w:bottom w:val="single" w:sz="4" w:space="0" w:color="auto"/>
              <w:right w:val="nil"/>
            </w:tcBorders>
            <w:noWrap/>
            <w:vAlign w:val="center"/>
          </w:tcPr>
          <w:p w:rsidR="009072DB" w:rsidRPr="009C238A" w:rsidRDefault="009072DB" w:rsidP="009072DB">
            <w:pPr>
              <w:rPr>
                <w:b/>
                <w:bCs/>
                <w:sz w:val="20"/>
                <w:szCs w:val="20"/>
                <w:lang w:val="en-US"/>
              </w:rPr>
            </w:pPr>
            <w:r w:rsidRPr="009C238A">
              <w:rPr>
                <w:b/>
                <w:bCs/>
                <w:sz w:val="20"/>
                <w:szCs w:val="20"/>
                <w:lang w:val="en-US"/>
              </w:rPr>
              <w:t>EBITDA (1)</w:t>
            </w:r>
          </w:p>
        </w:tc>
        <w:tc>
          <w:tcPr>
            <w:tcW w:w="1017" w:type="pct"/>
            <w:tcBorders>
              <w:top w:val="nil"/>
              <w:left w:val="nil"/>
              <w:bottom w:val="single" w:sz="4" w:space="0" w:color="auto"/>
              <w:right w:val="nil"/>
            </w:tcBorders>
            <w:noWrap/>
            <w:vAlign w:val="center"/>
          </w:tcPr>
          <w:p w:rsidR="009072DB" w:rsidRPr="009C238A" w:rsidRDefault="009072DB" w:rsidP="009072DB">
            <w:pPr>
              <w:jc w:val="center"/>
              <w:rPr>
                <w:sz w:val="20"/>
                <w:szCs w:val="20"/>
                <w:lang w:val="en-US"/>
              </w:rPr>
            </w:pPr>
            <w:r w:rsidRPr="009C238A">
              <w:rPr>
                <w:sz w:val="20"/>
                <w:szCs w:val="20"/>
                <w:lang w:val="en-US"/>
              </w:rPr>
              <w:t> </w:t>
            </w:r>
          </w:p>
        </w:tc>
        <w:tc>
          <w:tcPr>
            <w:tcW w:w="843"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38,628</w:t>
            </w:r>
          </w:p>
        </w:tc>
        <w:tc>
          <w:tcPr>
            <w:tcW w:w="843"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37.1%</w:t>
            </w:r>
          </w:p>
        </w:tc>
        <w:tc>
          <w:tcPr>
            <w:tcW w:w="820"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41,760</w:t>
            </w:r>
          </w:p>
        </w:tc>
        <w:tc>
          <w:tcPr>
            <w:tcW w:w="820"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40.0%</w:t>
            </w:r>
          </w:p>
        </w:tc>
      </w:tr>
    </w:tbl>
    <w:p w:rsidR="009072DB" w:rsidRPr="009C238A" w:rsidRDefault="009072DB" w:rsidP="009072DB">
      <w:pPr>
        <w:jc w:val="center"/>
        <w:rPr>
          <w:b/>
          <w:bCs/>
          <w:color w:val="FF0000"/>
          <w:lang w:val="en-US"/>
        </w:rPr>
      </w:pPr>
    </w:p>
    <w:p w:rsidR="009072DB" w:rsidRPr="009C238A" w:rsidRDefault="009072DB" w:rsidP="009072DB">
      <w:pPr>
        <w:autoSpaceDE w:val="0"/>
        <w:autoSpaceDN w:val="0"/>
        <w:adjustRightInd w:val="0"/>
        <w:jc w:val="both"/>
        <w:rPr>
          <w:color w:val="FF0000"/>
          <w:sz w:val="20"/>
          <w:szCs w:val="20"/>
          <w:highlight w:val="yellow"/>
          <w:lang w:val="en-US"/>
        </w:rPr>
      </w:pPr>
    </w:p>
    <w:p w:rsidR="009072DB" w:rsidRPr="009C238A" w:rsidRDefault="009072DB" w:rsidP="009072DB">
      <w:pPr>
        <w:jc w:val="both"/>
        <w:rPr>
          <w:b/>
          <w:bCs/>
          <w:sz w:val="18"/>
          <w:szCs w:val="18"/>
          <w:lang w:val="en-US" w:eastAsia="en-US"/>
        </w:rPr>
      </w:pPr>
      <w:r w:rsidRPr="009C238A">
        <w:rPr>
          <w:sz w:val="18"/>
          <w:szCs w:val="18"/>
          <w:lang w:val="en-US"/>
        </w:rPr>
        <w:t>(1) </w:t>
      </w:r>
      <w:r w:rsidRPr="009C238A">
        <w:rPr>
          <w:rFonts w:eastAsia="Arial Unicode MS"/>
          <w:color w:val="000000" w:themeColor="text1"/>
          <w:sz w:val="18"/>
          <w:szCs w:val="18"/>
          <w:lang w:val="en-US"/>
        </w:rPr>
        <w:t>The Company defines EBITDA as the “result from operations” before amortization of intangibles and depreciation of property, plant and equipment. EBITDA, which the Company uses to monitor and assess the Group’s operating performance, are not recognized as an accounting tool in the IFRSs and, consequently, should not be viewed as an alternative gauge to assess the Group’s operating performance. Because the composition of EBITDA is not governed by the reference accounting principles, the computation criterion used by the Group could be different from the criterion used by other operators and/or groups and, consequently, may not be comparable.</w:t>
      </w:r>
      <w:r w:rsidRPr="009C238A">
        <w:rPr>
          <w:sz w:val="18"/>
          <w:szCs w:val="18"/>
          <w:lang w:val="en-US"/>
        </w:rPr>
        <w:br w:type="page"/>
      </w:r>
    </w:p>
    <w:p w:rsidR="009072DB" w:rsidRPr="009C238A" w:rsidRDefault="009072DB" w:rsidP="009072DB">
      <w:pPr>
        <w:pStyle w:val="Rientronormale"/>
        <w:ind w:left="0"/>
        <w:rPr>
          <w:b/>
          <w:color w:val="000000" w:themeColor="text1"/>
          <w:lang w:val="en-US"/>
        </w:rPr>
      </w:pPr>
      <w:r w:rsidRPr="009C238A">
        <w:rPr>
          <w:b/>
          <w:color w:val="000000" w:themeColor="text1"/>
          <w:lang w:val="en-US"/>
        </w:rPr>
        <w:lastRenderedPageBreak/>
        <w:t>Net Revenues</w:t>
      </w:r>
    </w:p>
    <w:p w:rsidR="009072DB" w:rsidRPr="009C238A" w:rsidRDefault="009072DB" w:rsidP="009072DB">
      <w:pPr>
        <w:pStyle w:val="Rientronormale"/>
        <w:ind w:left="0"/>
        <w:rPr>
          <w:color w:val="000000" w:themeColor="text1"/>
          <w:highlight w:val="yellow"/>
          <w:lang w:val="en-US"/>
        </w:rPr>
      </w:pPr>
    </w:p>
    <w:p w:rsidR="009072DB" w:rsidRPr="009C238A" w:rsidRDefault="009072DB" w:rsidP="009072DB">
      <w:pPr>
        <w:spacing w:before="40"/>
        <w:jc w:val="both"/>
        <w:rPr>
          <w:lang w:val="en-US"/>
        </w:rPr>
      </w:pPr>
      <w:r w:rsidRPr="009C238A">
        <w:rPr>
          <w:color w:val="000000" w:themeColor="text1"/>
          <w:lang w:val="en-US"/>
        </w:rPr>
        <w:t xml:space="preserve">As mentioned earlier in this report, in the third quarter of 2013, revenues totaled </w:t>
      </w:r>
      <w:r w:rsidRPr="009C238A">
        <w:rPr>
          <w:lang w:val="en-US"/>
        </w:rPr>
        <w:t xml:space="preserve">104,202 </w:t>
      </w:r>
      <w:r w:rsidRPr="009C238A">
        <w:rPr>
          <w:color w:val="000000" w:themeColor="text1"/>
          <w:lang w:val="en-US"/>
        </w:rPr>
        <w:t>thousand euros</w:t>
      </w:r>
      <w:r w:rsidRPr="009C238A">
        <w:rPr>
          <w:lang w:val="en-US" w:eastAsia="en-US"/>
        </w:rPr>
        <w:t>, up by 3.6% at constant exchange rate</w:t>
      </w:r>
      <w:r w:rsidR="00DA01A3">
        <w:rPr>
          <w:lang w:val="en-US" w:eastAsia="en-US"/>
        </w:rPr>
        <w:t>s</w:t>
      </w:r>
      <w:r w:rsidRPr="009C238A">
        <w:rPr>
          <w:lang w:val="en-US" w:eastAsia="en-US"/>
        </w:rPr>
        <w:t xml:space="preserve"> and </w:t>
      </w:r>
      <w:r w:rsidR="00582183">
        <w:rPr>
          <w:lang w:val="en-US" w:eastAsia="en-US"/>
        </w:rPr>
        <w:t xml:space="preserve">almost </w:t>
      </w:r>
      <w:r w:rsidRPr="009C238A">
        <w:rPr>
          <w:lang w:val="en-US" w:eastAsia="en-US"/>
        </w:rPr>
        <w:t>in line (</w:t>
      </w:r>
      <w:r w:rsidR="00582183">
        <w:rPr>
          <w:lang w:val="en-US" w:eastAsia="en-US"/>
        </w:rPr>
        <w:t>-</w:t>
      </w:r>
      <w:r w:rsidRPr="009C238A">
        <w:rPr>
          <w:lang w:val="en-US" w:eastAsia="en-US"/>
        </w:rPr>
        <w:t>0.2%) at current exchange rate</w:t>
      </w:r>
      <w:r w:rsidR="00DA01A3">
        <w:rPr>
          <w:lang w:val="en-US" w:eastAsia="en-US"/>
        </w:rPr>
        <w:t>s</w:t>
      </w:r>
      <w:r w:rsidRPr="009C238A">
        <w:rPr>
          <w:lang w:val="en-US" w:eastAsia="en-US"/>
        </w:rPr>
        <w:t xml:space="preserve"> compared with the same period last year.</w:t>
      </w:r>
    </w:p>
    <w:p w:rsidR="009072DB" w:rsidRPr="009C238A" w:rsidRDefault="009072DB" w:rsidP="009072DB">
      <w:pPr>
        <w:autoSpaceDE w:val="0"/>
        <w:autoSpaceDN w:val="0"/>
        <w:adjustRightInd w:val="0"/>
        <w:jc w:val="both"/>
        <w:rPr>
          <w:highlight w:val="yellow"/>
          <w:lang w:val="en-US"/>
        </w:rPr>
      </w:pPr>
    </w:p>
    <w:p w:rsidR="009072DB" w:rsidRPr="009C238A" w:rsidRDefault="009072DB" w:rsidP="009072DB">
      <w:pPr>
        <w:autoSpaceDE w:val="0"/>
        <w:autoSpaceDN w:val="0"/>
        <w:adjustRightInd w:val="0"/>
        <w:jc w:val="both"/>
        <w:rPr>
          <w:highlight w:val="yellow"/>
          <w:lang w:val="en-US"/>
        </w:rPr>
      </w:pPr>
    </w:p>
    <w:p w:rsidR="009072DB" w:rsidRPr="009C238A" w:rsidRDefault="009072DB" w:rsidP="009072DB">
      <w:pPr>
        <w:spacing w:before="240" w:after="240" w:line="240" w:lineRule="atLeast"/>
        <w:ind w:right="-54"/>
        <w:jc w:val="both"/>
        <w:rPr>
          <w:b/>
          <w:bCs/>
          <w:i/>
          <w:iCs/>
          <w:color w:val="000000" w:themeColor="text1"/>
          <w:lang w:val="en-US"/>
        </w:rPr>
      </w:pPr>
      <w:r w:rsidRPr="009C238A">
        <w:rPr>
          <w:b/>
          <w:bCs/>
          <w:i/>
          <w:iCs/>
          <w:color w:val="000000" w:themeColor="text1"/>
          <w:lang w:val="en-US"/>
        </w:rPr>
        <w:t xml:space="preserve">Breakdown of revenues by geographic region </w:t>
      </w:r>
    </w:p>
    <w:p w:rsidR="009072DB" w:rsidRPr="009C238A" w:rsidRDefault="009072DB" w:rsidP="009072DB">
      <w:pPr>
        <w:spacing w:before="240" w:after="240" w:line="240" w:lineRule="atLeast"/>
        <w:ind w:right="-54"/>
        <w:jc w:val="both"/>
        <w:rPr>
          <w:color w:val="000000" w:themeColor="text1"/>
          <w:lang w:val="en-US"/>
        </w:rPr>
      </w:pPr>
      <w:r w:rsidRPr="009C238A">
        <w:rPr>
          <w:color w:val="000000" w:themeColor="text1"/>
          <w:lang w:val="en-US"/>
        </w:rPr>
        <w:t>The table below provides a breakdown of the consolidated revenues of the Diasorin Group by geographic region of destination.</w:t>
      </w:r>
    </w:p>
    <w:tbl>
      <w:tblPr>
        <w:tblW w:w="5000" w:type="pct"/>
        <w:tblCellMar>
          <w:left w:w="70" w:type="dxa"/>
          <w:right w:w="70" w:type="dxa"/>
        </w:tblCellMar>
        <w:tblLook w:val="00A0"/>
      </w:tblPr>
      <w:tblGrid>
        <w:gridCol w:w="3153"/>
        <w:gridCol w:w="1604"/>
        <w:gridCol w:w="1602"/>
        <w:gridCol w:w="1711"/>
        <w:gridCol w:w="1709"/>
      </w:tblGrid>
      <w:tr w:rsidR="009072DB" w:rsidRPr="00923B29" w:rsidTr="00214A0B">
        <w:trPr>
          <w:trHeight w:val="510"/>
        </w:trPr>
        <w:tc>
          <w:tcPr>
            <w:tcW w:w="1612" w:type="pct"/>
            <w:tcBorders>
              <w:top w:val="single" w:sz="4" w:space="0" w:color="auto"/>
              <w:left w:val="nil"/>
              <w:bottom w:val="single" w:sz="4" w:space="0" w:color="auto"/>
              <w:right w:val="nil"/>
            </w:tcBorders>
            <w:vAlign w:val="center"/>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820" w:type="pct"/>
            <w:tcBorders>
              <w:top w:val="single" w:sz="4" w:space="0" w:color="auto"/>
              <w:left w:val="nil"/>
              <w:bottom w:val="single" w:sz="4" w:space="0" w:color="auto"/>
              <w:right w:val="nil"/>
            </w:tcBorders>
            <w:vAlign w:val="center"/>
          </w:tcPr>
          <w:p w:rsidR="00EA4C28" w:rsidRDefault="009072DB" w:rsidP="009072DB">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w:t>
            </w:r>
          </w:p>
          <w:p w:rsidR="009072DB" w:rsidRPr="009C238A" w:rsidRDefault="009072DB" w:rsidP="009072DB">
            <w:pPr>
              <w:jc w:val="right"/>
              <w:rPr>
                <w:b/>
                <w:bCs/>
                <w:sz w:val="20"/>
                <w:szCs w:val="20"/>
                <w:lang w:val="en-US"/>
              </w:rPr>
            </w:pPr>
            <w:r w:rsidRPr="009C238A">
              <w:rPr>
                <w:b/>
                <w:bCs/>
                <w:sz w:val="20"/>
                <w:szCs w:val="20"/>
                <w:lang w:val="en-US"/>
              </w:rPr>
              <w:t>2013</w:t>
            </w:r>
          </w:p>
        </w:tc>
        <w:tc>
          <w:tcPr>
            <w:tcW w:w="819" w:type="pct"/>
            <w:tcBorders>
              <w:top w:val="single" w:sz="4" w:space="0" w:color="auto"/>
              <w:left w:val="nil"/>
              <w:bottom w:val="single" w:sz="4" w:space="0" w:color="auto"/>
              <w:right w:val="nil"/>
            </w:tcBorders>
            <w:vAlign w:val="center"/>
          </w:tcPr>
          <w:p w:rsidR="00EA4C28" w:rsidRDefault="009072DB" w:rsidP="009072DB">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w:t>
            </w:r>
          </w:p>
          <w:p w:rsidR="009072DB" w:rsidRPr="009C238A" w:rsidRDefault="009072DB" w:rsidP="009072DB">
            <w:pPr>
              <w:jc w:val="right"/>
              <w:rPr>
                <w:b/>
                <w:bCs/>
                <w:sz w:val="20"/>
                <w:szCs w:val="20"/>
                <w:lang w:val="en-US"/>
              </w:rPr>
            </w:pPr>
            <w:r w:rsidRPr="009C238A">
              <w:rPr>
                <w:b/>
                <w:bCs/>
                <w:sz w:val="20"/>
                <w:szCs w:val="20"/>
                <w:lang w:val="en-US"/>
              </w:rPr>
              <w:t>2012</w:t>
            </w:r>
          </w:p>
        </w:tc>
        <w:tc>
          <w:tcPr>
            <w:tcW w:w="875" w:type="pct"/>
            <w:tcBorders>
              <w:top w:val="single" w:sz="4" w:space="0" w:color="auto"/>
              <w:left w:val="nil"/>
              <w:bottom w:val="single" w:sz="4" w:space="0" w:color="auto"/>
              <w:right w:val="nil"/>
            </w:tcBorders>
            <w:vAlign w:val="center"/>
          </w:tcPr>
          <w:p w:rsidR="009072DB" w:rsidRPr="009C238A" w:rsidRDefault="009072DB" w:rsidP="009072DB">
            <w:pPr>
              <w:jc w:val="right"/>
              <w:rPr>
                <w:b/>
                <w:bCs/>
                <w:color w:val="000000" w:themeColor="text1"/>
                <w:sz w:val="20"/>
                <w:szCs w:val="20"/>
                <w:lang w:val="en-US"/>
              </w:rPr>
            </w:pPr>
            <w:r w:rsidRPr="009C238A">
              <w:rPr>
                <w:b/>
                <w:bCs/>
                <w:color w:val="000000" w:themeColor="text1"/>
                <w:sz w:val="20"/>
                <w:szCs w:val="20"/>
                <w:lang w:val="en-US"/>
              </w:rPr>
              <w:t>% Change at</w:t>
            </w:r>
          </w:p>
          <w:p w:rsidR="009072DB" w:rsidRPr="009C238A" w:rsidRDefault="009072DB" w:rsidP="009072DB">
            <w:pPr>
              <w:jc w:val="right"/>
              <w:rPr>
                <w:b/>
                <w:bCs/>
                <w:sz w:val="20"/>
                <w:szCs w:val="20"/>
                <w:lang w:val="en-US"/>
              </w:rPr>
            </w:pPr>
            <w:r w:rsidRPr="009C238A">
              <w:rPr>
                <w:b/>
                <w:bCs/>
                <w:color w:val="000000" w:themeColor="text1"/>
                <w:sz w:val="20"/>
                <w:szCs w:val="20"/>
                <w:lang w:val="en-US"/>
              </w:rPr>
              <w:t xml:space="preserve"> current exchange rates</w:t>
            </w:r>
          </w:p>
        </w:tc>
        <w:tc>
          <w:tcPr>
            <w:tcW w:w="874"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color w:val="000000" w:themeColor="text1"/>
                <w:sz w:val="20"/>
                <w:szCs w:val="20"/>
                <w:lang w:val="en-US"/>
              </w:rPr>
              <w:t>% Change at constant exchange rates</w:t>
            </w:r>
          </w:p>
        </w:tc>
      </w:tr>
      <w:tr w:rsidR="009072DB" w:rsidRPr="009C238A" w:rsidTr="00214A0B">
        <w:trPr>
          <w:trHeight w:val="255"/>
        </w:trPr>
        <w:tc>
          <w:tcPr>
            <w:tcW w:w="1612"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Europa and Africa</w:t>
            </w:r>
          </w:p>
        </w:tc>
        <w:tc>
          <w:tcPr>
            <w:tcW w:w="820"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49,580</w:t>
            </w:r>
          </w:p>
        </w:tc>
        <w:tc>
          <w:tcPr>
            <w:tcW w:w="819"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47,333</w:t>
            </w:r>
          </w:p>
        </w:tc>
        <w:tc>
          <w:tcPr>
            <w:tcW w:w="875" w:type="pct"/>
            <w:tcBorders>
              <w:top w:val="nil"/>
              <w:left w:val="nil"/>
              <w:bottom w:val="nil"/>
              <w:right w:val="nil"/>
            </w:tcBorders>
            <w:noWrap/>
            <w:vAlign w:val="center"/>
          </w:tcPr>
          <w:p w:rsidR="009072DB" w:rsidRPr="009C238A" w:rsidRDefault="006A22C8" w:rsidP="009072DB">
            <w:pPr>
              <w:jc w:val="right"/>
              <w:rPr>
                <w:sz w:val="20"/>
                <w:szCs w:val="20"/>
                <w:lang w:val="en-US"/>
              </w:rPr>
            </w:pPr>
            <w:r>
              <w:rPr>
                <w:sz w:val="20"/>
                <w:szCs w:val="20"/>
                <w:lang w:val="en-US"/>
              </w:rPr>
              <w:t>+</w:t>
            </w:r>
            <w:r w:rsidR="009072DB" w:rsidRPr="009C238A">
              <w:rPr>
                <w:sz w:val="20"/>
                <w:szCs w:val="20"/>
                <w:lang w:val="en-US"/>
              </w:rPr>
              <w:t>4.7%</w:t>
            </w:r>
          </w:p>
        </w:tc>
        <w:tc>
          <w:tcPr>
            <w:tcW w:w="874" w:type="pct"/>
            <w:tcBorders>
              <w:top w:val="nil"/>
              <w:left w:val="nil"/>
              <w:bottom w:val="nil"/>
              <w:right w:val="nil"/>
            </w:tcBorders>
            <w:noWrap/>
            <w:vAlign w:val="center"/>
          </w:tcPr>
          <w:p w:rsidR="009072DB" w:rsidRPr="009C238A" w:rsidRDefault="006A22C8" w:rsidP="009072DB">
            <w:pPr>
              <w:jc w:val="right"/>
              <w:rPr>
                <w:sz w:val="20"/>
                <w:szCs w:val="20"/>
                <w:lang w:val="en-US"/>
              </w:rPr>
            </w:pPr>
            <w:r>
              <w:rPr>
                <w:sz w:val="20"/>
                <w:szCs w:val="20"/>
                <w:lang w:val="en-US"/>
              </w:rPr>
              <w:t>+</w:t>
            </w:r>
            <w:r w:rsidR="009072DB" w:rsidRPr="009C238A">
              <w:rPr>
                <w:sz w:val="20"/>
                <w:szCs w:val="20"/>
                <w:lang w:val="en-US"/>
              </w:rPr>
              <w:t>5.1%</w:t>
            </w:r>
          </w:p>
        </w:tc>
      </w:tr>
      <w:tr w:rsidR="009072DB" w:rsidRPr="009C238A" w:rsidTr="00214A0B">
        <w:trPr>
          <w:trHeight w:val="255"/>
        </w:trPr>
        <w:tc>
          <w:tcPr>
            <w:tcW w:w="1612"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 xml:space="preserve">North America </w:t>
            </w:r>
          </w:p>
        </w:tc>
        <w:tc>
          <w:tcPr>
            <w:tcW w:w="820"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26,050</w:t>
            </w:r>
          </w:p>
        </w:tc>
        <w:tc>
          <w:tcPr>
            <w:tcW w:w="819"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30,481</w:t>
            </w:r>
          </w:p>
        </w:tc>
        <w:tc>
          <w:tcPr>
            <w:tcW w:w="87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-14.5%</w:t>
            </w:r>
          </w:p>
        </w:tc>
        <w:tc>
          <w:tcPr>
            <w:tcW w:w="87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-9.4%</w:t>
            </w:r>
          </w:p>
        </w:tc>
      </w:tr>
      <w:tr w:rsidR="009072DB" w:rsidRPr="009C238A" w:rsidTr="00214A0B">
        <w:trPr>
          <w:trHeight w:val="255"/>
        </w:trPr>
        <w:tc>
          <w:tcPr>
            <w:tcW w:w="1612"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Asia Pacific</w:t>
            </w:r>
          </w:p>
        </w:tc>
        <w:tc>
          <w:tcPr>
            <w:tcW w:w="820"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16,495</w:t>
            </w:r>
          </w:p>
        </w:tc>
        <w:tc>
          <w:tcPr>
            <w:tcW w:w="819"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14,635</w:t>
            </w:r>
          </w:p>
        </w:tc>
        <w:tc>
          <w:tcPr>
            <w:tcW w:w="875" w:type="pct"/>
            <w:tcBorders>
              <w:top w:val="nil"/>
              <w:left w:val="nil"/>
              <w:bottom w:val="nil"/>
              <w:right w:val="nil"/>
            </w:tcBorders>
            <w:noWrap/>
            <w:vAlign w:val="center"/>
          </w:tcPr>
          <w:p w:rsidR="009072DB" w:rsidRPr="009C238A" w:rsidRDefault="006A22C8" w:rsidP="009072DB">
            <w:pPr>
              <w:jc w:val="right"/>
              <w:rPr>
                <w:sz w:val="20"/>
                <w:szCs w:val="20"/>
                <w:lang w:val="en-US"/>
              </w:rPr>
            </w:pPr>
            <w:r>
              <w:rPr>
                <w:sz w:val="20"/>
                <w:szCs w:val="20"/>
                <w:lang w:val="en-US"/>
              </w:rPr>
              <w:t>+</w:t>
            </w:r>
            <w:r w:rsidR="009072DB" w:rsidRPr="009C238A">
              <w:rPr>
                <w:sz w:val="20"/>
                <w:szCs w:val="20"/>
                <w:lang w:val="en-US"/>
              </w:rPr>
              <w:t>12.7%</w:t>
            </w:r>
          </w:p>
        </w:tc>
        <w:tc>
          <w:tcPr>
            <w:tcW w:w="874" w:type="pct"/>
            <w:tcBorders>
              <w:top w:val="nil"/>
              <w:left w:val="nil"/>
              <w:bottom w:val="nil"/>
              <w:right w:val="nil"/>
            </w:tcBorders>
            <w:noWrap/>
            <w:vAlign w:val="center"/>
          </w:tcPr>
          <w:p w:rsidR="009072DB" w:rsidRPr="009C238A" w:rsidRDefault="006A22C8" w:rsidP="009072DB">
            <w:pPr>
              <w:jc w:val="right"/>
              <w:rPr>
                <w:sz w:val="20"/>
                <w:szCs w:val="20"/>
                <w:lang w:val="en-US"/>
              </w:rPr>
            </w:pPr>
            <w:r>
              <w:rPr>
                <w:sz w:val="20"/>
                <w:szCs w:val="20"/>
                <w:lang w:val="en-US"/>
              </w:rPr>
              <w:t>+</w:t>
            </w:r>
            <w:r w:rsidR="009072DB" w:rsidRPr="009C238A">
              <w:rPr>
                <w:sz w:val="20"/>
                <w:szCs w:val="20"/>
                <w:lang w:val="en-US"/>
              </w:rPr>
              <w:t>18.4%</w:t>
            </w:r>
          </w:p>
        </w:tc>
      </w:tr>
      <w:tr w:rsidR="009072DB" w:rsidRPr="009C238A" w:rsidTr="00214A0B">
        <w:trPr>
          <w:trHeight w:val="255"/>
        </w:trPr>
        <w:tc>
          <w:tcPr>
            <w:tcW w:w="1612"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Central and South America</w:t>
            </w:r>
          </w:p>
        </w:tc>
        <w:tc>
          <w:tcPr>
            <w:tcW w:w="820"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12,077</w:t>
            </w:r>
          </w:p>
        </w:tc>
        <w:tc>
          <w:tcPr>
            <w:tcW w:w="819"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12,006</w:t>
            </w:r>
          </w:p>
        </w:tc>
        <w:tc>
          <w:tcPr>
            <w:tcW w:w="875" w:type="pct"/>
            <w:tcBorders>
              <w:top w:val="nil"/>
              <w:left w:val="nil"/>
              <w:bottom w:val="nil"/>
              <w:right w:val="nil"/>
            </w:tcBorders>
            <w:noWrap/>
            <w:vAlign w:val="center"/>
          </w:tcPr>
          <w:p w:rsidR="009072DB" w:rsidRPr="009C238A" w:rsidRDefault="006A22C8" w:rsidP="009072DB">
            <w:pPr>
              <w:jc w:val="right"/>
              <w:rPr>
                <w:sz w:val="20"/>
                <w:szCs w:val="20"/>
                <w:lang w:val="en-US"/>
              </w:rPr>
            </w:pPr>
            <w:r>
              <w:rPr>
                <w:sz w:val="20"/>
                <w:szCs w:val="20"/>
                <w:lang w:val="en-US"/>
              </w:rPr>
              <w:t>+</w:t>
            </w:r>
            <w:r w:rsidR="009072DB" w:rsidRPr="009C238A">
              <w:rPr>
                <w:sz w:val="20"/>
                <w:szCs w:val="20"/>
                <w:lang w:val="en-US"/>
              </w:rPr>
              <w:t>0.6%</w:t>
            </w:r>
          </w:p>
        </w:tc>
        <w:tc>
          <w:tcPr>
            <w:tcW w:w="874" w:type="pct"/>
            <w:tcBorders>
              <w:top w:val="nil"/>
              <w:left w:val="nil"/>
              <w:bottom w:val="nil"/>
              <w:right w:val="nil"/>
            </w:tcBorders>
            <w:noWrap/>
            <w:vAlign w:val="center"/>
          </w:tcPr>
          <w:p w:rsidR="009072DB" w:rsidRPr="009C238A" w:rsidRDefault="006A22C8" w:rsidP="009072DB">
            <w:pPr>
              <w:jc w:val="right"/>
              <w:rPr>
                <w:sz w:val="20"/>
                <w:szCs w:val="20"/>
                <w:lang w:val="en-US"/>
              </w:rPr>
            </w:pPr>
            <w:r>
              <w:rPr>
                <w:sz w:val="20"/>
                <w:szCs w:val="20"/>
                <w:lang w:val="en-US"/>
              </w:rPr>
              <w:t>+</w:t>
            </w:r>
            <w:r w:rsidR="009072DB" w:rsidRPr="009C238A">
              <w:rPr>
                <w:sz w:val="20"/>
                <w:szCs w:val="20"/>
                <w:lang w:val="en-US"/>
              </w:rPr>
              <w:t>13.2%</w:t>
            </w:r>
          </w:p>
        </w:tc>
      </w:tr>
      <w:tr w:rsidR="009072DB" w:rsidRPr="009C238A" w:rsidTr="00214A0B">
        <w:trPr>
          <w:trHeight w:val="255"/>
        </w:trPr>
        <w:tc>
          <w:tcPr>
            <w:tcW w:w="1612"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sz w:val="20"/>
                <w:szCs w:val="20"/>
                <w:lang w:val="en-US"/>
              </w:rPr>
              <w:t>Total</w:t>
            </w:r>
          </w:p>
        </w:tc>
        <w:tc>
          <w:tcPr>
            <w:tcW w:w="820"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104,202</w:t>
            </w:r>
          </w:p>
        </w:tc>
        <w:tc>
          <w:tcPr>
            <w:tcW w:w="819"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104,455</w:t>
            </w:r>
          </w:p>
        </w:tc>
        <w:tc>
          <w:tcPr>
            <w:tcW w:w="875"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-0.2%</w:t>
            </w:r>
          </w:p>
        </w:tc>
        <w:tc>
          <w:tcPr>
            <w:tcW w:w="874" w:type="pct"/>
            <w:tcBorders>
              <w:top w:val="single" w:sz="4" w:space="0" w:color="auto"/>
              <w:left w:val="nil"/>
              <w:bottom w:val="single" w:sz="4" w:space="0" w:color="auto"/>
              <w:right w:val="nil"/>
            </w:tcBorders>
            <w:noWrap/>
            <w:vAlign w:val="center"/>
          </w:tcPr>
          <w:p w:rsidR="009072DB" w:rsidRPr="009C238A" w:rsidRDefault="006A22C8" w:rsidP="009072DB">
            <w:pPr>
              <w:jc w:val="right"/>
              <w:rPr>
                <w:b/>
                <w:bCs/>
                <w:sz w:val="20"/>
                <w:szCs w:val="20"/>
                <w:lang w:val="en-US"/>
              </w:rPr>
            </w:pPr>
            <w:r>
              <w:rPr>
                <w:b/>
                <w:bCs/>
                <w:sz w:val="20"/>
                <w:szCs w:val="20"/>
                <w:lang w:val="en-US"/>
              </w:rPr>
              <w:t>+</w:t>
            </w:r>
            <w:r w:rsidR="009072DB" w:rsidRPr="009C238A">
              <w:rPr>
                <w:b/>
                <w:bCs/>
                <w:sz w:val="20"/>
                <w:szCs w:val="20"/>
                <w:lang w:val="en-US"/>
              </w:rPr>
              <w:t>3.6%</w:t>
            </w:r>
          </w:p>
        </w:tc>
      </w:tr>
    </w:tbl>
    <w:p w:rsidR="009072DB" w:rsidRPr="009C238A" w:rsidRDefault="00214A0B" w:rsidP="009072DB">
      <w:pPr>
        <w:spacing w:before="240" w:after="240" w:line="240" w:lineRule="atLeast"/>
        <w:ind w:right="-54"/>
        <w:jc w:val="both"/>
        <w:rPr>
          <w:lang w:val="en-US"/>
        </w:rPr>
      </w:pPr>
      <w:r w:rsidRPr="00214A0B">
        <w:rPr>
          <w:noProof/>
          <w:lang w:val="en-US" w:eastAsia="en-US"/>
        </w:rPr>
        <w:drawing>
          <wp:inline distT="0" distB="0" distL="0" distR="0">
            <wp:extent cx="6120765" cy="183496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1834960"/>
                    </a:xfrm>
                    <a:prstGeom prst="rect">
                      <a:avLst/>
                    </a:prstGeom>
                    <a:noFill/>
                    <a:ln>
                      <a:noFill/>
                    </a:ln>
                  </pic:spPr>
                </pic:pic>
              </a:graphicData>
            </a:graphic>
          </wp:inline>
        </w:drawing>
      </w:r>
    </w:p>
    <w:p w:rsidR="009072DB" w:rsidRPr="009C238A" w:rsidRDefault="009072DB" w:rsidP="009072DB">
      <w:pPr>
        <w:spacing w:before="240" w:line="240" w:lineRule="atLeast"/>
        <w:ind w:right="-54"/>
        <w:jc w:val="both"/>
        <w:rPr>
          <w:i/>
          <w:lang w:val="en-US"/>
        </w:rPr>
      </w:pPr>
    </w:p>
    <w:p w:rsidR="009072DB" w:rsidRPr="009C238A" w:rsidRDefault="009072DB" w:rsidP="009072DB">
      <w:pPr>
        <w:spacing w:before="240" w:line="240" w:lineRule="atLeast"/>
        <w:ind w:right="-54"/>
        <w:jc w:val="both"/>
        <w:rPr>
          <w:i/>
          <w:lang w:val="en-US"/>
        </w:rPr>
      </w:pPr>
      <w:r w:rsidRPr="009C238A">
        <w:rPr>
          <w:i/>
          <w:lang w:val="en-US"/>
        </w:rPr>
        <w:t>Europa and Africa</w:t>
      </w:r>
    </w:p>
    <w:p w:rsidR="009072DB" w:rsidRPr="009C238A" w:rsidRDefault="00DA01A3" w:rsidP="009072DB">
      <w:pPr>
        <w:spacing w:before="240" w:line="240" w:lineRule="atLeast"/>
        <w:ind w:right="-54"/>
        <w:jc w:val="both"/>
        <w:rPr>
          <w:color w:val="000000" w:themeColor="text1"/>
          <w:lang w:val="en-US"/>
        </w:rPr>
      </w:pPr>
      <w:r>
        <w:rPr>
          <w:color w:val="000000" w:themeColor="text1"/>
          <w:lang w:val="en-US"/>
        </w:rPr>
        <w:t xml:space="preserve">In the third quarter </w:t>
      </w:r>
      <w:r w:rsidR="00180D93">
        <w:rPr>
          <w:color w:val="000000" w:themeColor="text1"/>
          <w:lang w:val="en-US"/>
        </w:rPr>
        <w:t xml:space="preserve">of </w:t>
      </w:r>
      <w:r>
        <w:rPr>
          <w:color w:val="000000" w:themeColor="text1"/>
          <w:lang w:val="en-US"/>
        </w:rPr>
        <w:t>20</w:t>
      </w:r>
      <w:r w:rsidRPr="00214A0B">
        <w:rPr>
          <w:b/>
          <w:color w:val="000000" w:themeColor="text1"/>
          <w:lang w:val="en-US"/>
        </w:rPr>
        <w:t>1</w:t>
      </w:r>
      <w:r>
        <w:rPr>
          <w:color w:val="000000" w:themeColor="text1"/>
          <w:lang w:val="en-US"/>
        </w:rPr>
        <w:t>3, r</w:t>
      </w:r>
      <w:r w:rsidR="009072DB" w:rsidRPr="009C238A">
        <w:rPr>
          <w:color w:val="000000" w:themeColor="text1"/>
          <w:lang w:val="en-US"/>
        </w:rPr>
        <w:t xml:space="preserve">evenues booked in Europe and Africa totaled </w:t>
      </w:r>
      <w:r w:rsidR="009072DB" w:rsidRPr="009C238A">
        <w:rPr>
          <w:lang w:val="en-US"/>
        </w:rPr>
        <w:t xml:space="preserve">49,580 </w:t>
      </w:r>
      <w:r w:rsidR="009072DB" w:rsidRPr="009C238A">
        <w:rPr>
          <w:color w:val="000000" w:themeColor="text1"/>
          <w:lang w:val="en-US"/>
        </w:rPr>
        <w:t xml:space="preserve">thousand euros, up by </w:t>
      </w:r>
      <w:r w:rsidR="009072DB" w:rsidRPr="009C238A">
        <w:rPr>
          <w:lang w:val="en-US"/>
        </w:rPr>
        <w:t xml:space="preserve">4.7% </w:t>
      </w:r>
      <w:r w:rsidR="009072DB" w:rsidRPr="009C238A">
        <w:rPr>
          <w:color w:val="000000" w:themeColor="text1"/>
          <w:lang w:val="en-US"/>
        </w:rPr>
        <w:t>compared with the same period last year</w:t>
      </w:r>
      <w:r w:rsidR="009072DB" w:rsidRPr="009C238A">
        <w:rPr>
          <w:lang w:val="en-US"/>
        </w:rPr>
        <w:t xml:space="preserve"> (47,333 </w:t>
      </w:r>
      <w:r w:rsidR="009072DB" w:rsidRPr="009C238A">
        <w:rPr>
          <w:color w:val="000000" w:themeColor="text1"/>
          <w:lang w:val="en-US"/>
        </w:rPr>
        <w:t>thousand euros</w:t>
      </w:r>
      <w:r w:rsidR="009072DB" w:rsidRPr="009C238A">
        <w:rPr>
          <w:lang w:val="en-US"/>
        </w:rPr>
        <w:t xml:space="preserve">). </w:t>
      </w:r>
      <w:r w:rsidR="009072DB" w:rsidRPr="009C238A">
        <w:rPr>
          <w:color w:val="000000" w:themeColor="text1"/>
          <w:lang w:val="en-US"/>
        </w:rPr>
        <w:t>Net of revenues generated from Vitamin D sales, all countries, except Israel, reported higher revenues compared with the third quarter of 2012</w:t>
      </w:r>
      <w:r w:rsidR="009072DB" w:rsidRPr="009C238A">
        <w:rPr>
          <w:lang w:val="en-US"/>
        </w:rPr>
        <w:t xml:space="preserve">. </w:t>
      </w:r>
      <w:r w:rsidR="009072DB" w:rsidRPr="009C238A">
        <w:rPr>
          <w:color w:val="000000" w:themeColor="text1"/>
          <w:lang w:val="en-US"/>
        </w:rPr>
        <w:t>CLIA reagent sales, net of Vitamin D, increased by</w:t>
      </w:r>
      <w:r w:rsidR="009072DB" w:rsidRPr="009C238A">
        <w:rPr>
          <w:lang w:val="en-US"/>
        </w:rPr>
        <w:t xml:space="preserve"> 15.3% </w:t>
      </w:r>
      <w:r w:rsidR="009072DB" w:rsidRPr="009C238A">
        <w:rPr>
          <w:color w:val="000000" w:themeColor="text1"/>
          <w:lang w:val="en-US"/>
        </w:rPr>
        <w:t>compared with the same period last year.</w:t>
      </w:r>
    </w:p>
    <w:p w:rsidR="008D78DB" w:rsidRDefault="009072DB" w:rsidP="009072DB">
      <w:pPr>
        <w:spacing w:before="240" w:line="240" w:lineRule="atLeast"/>
        <w:ind w:right="-54"/>
        <w:jc w:val="both"/>
        <w:rPr>
          <w:lang w:val="en-US"/>
        </w:rPr>
      </w:pPr>
      <w:r w:rsidRPr="009C238A">
        <w:rPr>
          <w:color w:val="000000" w:themeColor="text1"/>
          <w:lang w:val="en-US"/>
        </w:rPr>
        <w:t xml:space="preserve">Higher contribution to revenue was provided by Germany </w:t>
      </w:r>
      <w:r w:rsidRPr="009C238A">
        <w:rPr>
          <w:lang w:val="en-US"/>
        </w:rPr>
        <w:t xml:space="preserve">(+7.2%) </w:t>
      </w:r>
      <w:r w:rsidRPr="009C238A">
        <w:rPr>
          <w:color w:val="000000" w:themeColor="text1"/>
          <w:lang w:val="en-US"/>
        </w:rPr>
        <w:t xml:space="preserve">and Italy </w:t>
      </w:r>
      <w:r w:rsidR="00180D93">
        <w:rPr>
          <w:lang w:val="en-US"/>
        </w:rPr>
        <w:t xml:space="preserve">(+6.9%), despite a </w:t>
      </w:r>
      <w:r w:rsidRPr="009C238A">
        <w:rPr>
          <w:lang w:val="en-US"/>
        </w:rPr>
        <w:t>2.5% contrac</w:t>
      </w:r>
      <w:r w:rsidR="008D78DB">
        <w:rPr>
          <w:lang w:val="en-US"/>
        </w:rPr>
        <w:t xml:space="preserve">tion in the Italian IVD market. </w:t>
      </w:r>
    </w:p>
    <w:p w:rsidR="009072DB" w:rsidRPr="009C238A" w:rsidRDefault="009072DB" w:rsidP="008D78DB">
      <w:pPr>
        <w:spacing w:line="240" w:lineRule="atLeast"/>
        <w:ind w:right="-58"/>
        <w:jc w:val="both"/>
        <w:rPr>
          <w:lang w:val="en-US"/>
        </w:rPr>
      </w:pPr>
      <w:r w:rsidRPr="009C238A">
        <w:rPr>
          <w:color w:val="000000" w:themeColor="text1"/>
          <w:lang w:val="en-US"/>
        </w:rPr>
        <w:t>Moreover, a decrease in sales on the French market</w:t>
      </w:r>
      <w:r w:rsidRPr="009C238A">
        <w:rPr>
          <w:lang w:val="en-US"/>
        </w:rPr>
        <w:t xml:space="preserve"> (-4.4%), </w:t>
      </w:r>
      <w:r w:rsidRPr="009C238A">
        <w:rPr>
          <w:color w:val="000000" w:themeColor="text1"/>
          <w:lang w:val="en-US"/>
        </w:rPr>
        <w:t>mainly</w:t>
      </w:r>
      <w:r w:rsidRPr="009C238A">
        <w:rPr>
          <w:lang w:val="en-US"/>
        </w:rPr>
        <w:t xml:space="preserve"> </w:t>
      </w:r>
      <w:r w:rsidRPr="009C238A">
        <w:rPr>
          <w:color w:val="000000" w:themeColor="text1"/>
          <w:lang w:val="en-US"/>
        </w:rPr>
        <w:t>due to the</w:t>
      </w:r>
      <w:r w:rsidRPr="009C238A">
        <w:rPr>
          <w:rFonts w:eastAsia="Arial Unicode MS"/>
          <w:color w:val="000000" w:themeColor="text1"/>
          <w:lang w:val="en-US"/>
        </w:rPr>
        <w:t xml:space="preserve"> decline in Vitamin D sales, was partly offset by CLIA products</w:t>
      </w:r>
      <w:r w:rsidRPr="009C238A">
        <w:rPr>
          <w:color w:val="000000" w:themeColor="text1"/>
          <w:lang w:val="en-US"/>
        </w:rPr>
        <w:t xml:space="preserve">, up by </w:t>
      </w:r>
      <w:r w:rsidRPr="009C238A">
        <w:rPr>
          <w:lang w:val="en-US"/>
        </w:rPr>
        <w:t>14.8% compared with the third quarter of 2012.</w:t>
      </w:r>
    </w:p>
    <w:p w:rsidR="009072DB" w:rsidRDefault="009072DB" w:rsidP="009072DB">
      <w:pPr>
        <w:spacing w:before="240" w:line="240" w:lineRule="atLeast"/>
        <w:ind w:right="-54"/>
        <w:jc w:val="both"/>
        <w:rPr>
          <w:i/>
          <w:lang w:val="en-US"/>
        </w:rPr>
      </w:pPr>
    </w:p>
    <w:p w:rsidR="00B31B5A" w:rsidRPr="009C238A" w:rsidRDefault="00B31B5A" w:rsidP="009072DB">
      <w:pPr>
        <w:spacing w:before="240" w:line="240" w:lineRule="atLeast"/>
        <w:ind w:right="-54"/>
        <w:jc w:val="both"/>
        <w:rPr>
          <w:i/>
          <w:lang w:val="en-US"/>
        </w:rPr>
      </w:pPr>
    </w:p>
    <w:p w:rsidR="009072DB" w:rsidRPr="009C238A" w:rsidRDefault="009072DB" w:rsidP="009072DB">
      <w:pPr>
        <w:spacing w:before="240" w:line="240" w:lineRule="atLeast"/>
        <w:ind w:right="-54"/>
        <w:jc w:val="both"/>
        <w:rPr>
          <w:i/>
          <w:lang w:val="en-US"/>
        </w:rPr>
      </w:pPr>
      <w:r w:rsidRPr="009C238A">
        <w:rPr>
          <w:i/>
          <w:lang w:val="en-US"/>
        </w:rPr>
        <w:lastRenderedPageBreak/>
        <w:t>North America</w:t>
      </w:r>
    </w:p>
    <w:p w:rsidR="009072DB" w:rsidRPr="009C238A" w:rsidRDefault="009072DB" w:rsidP="009072DB">
      <w:pPr>
        <w:spacing w:before="240" w:line="240" w:lineRule="atLeast"/>
        <w:ind w:right="-54"/>
        <w:jc w:val="both"/>
        <w:rPr>
          <w:lang w:val="en-US"/>
        </w:rPr>
      </w:pPr>
      <w:r w:rsidRPr="009C238A">
        <w:rPr>
          <w:color w:val="000000" w:themeColor="text1"/>
          <w:lang w:val="en-US"/>
        </w:rPr>
        <w:t xml:space="preserve">In the third quarter of 2013, revenues generated in the North American market totaled </w:t>
      </w:r>
      <w:r w:rsidRPr="009C238A">
        <w:rPr>
          <w:lang w:val="en-US"/>
        </w:rPr>
        <w:t xml:space="preserve">26,050 </w:t>
      </w:r>
      <w:r w:rsidRPr="009C238A">
        <w:rPr>
          <w:color w:val="000000" w:themeColor="text1"/>
          <w:lang w:val="en-US"/>
        </w:rPr>
        <w:t>thousand euros, down by</w:t>
      </w:r>
      <w:r w:rsidRPr="009C238A">
        <w:rPr>
          <w:lang w:val="en-US"/>
        </w:rPr>
        <w:t xml:space="preserve"> 9.4% </w:t>
      </w:r>
      <w:r w:rsidRPr="009C238A">
        <w:rPr>
          <w:color w:val="000000" w:themeColor="text1"/>
          <w:lang w:val="en-US"/>
        </w:rPr>
        <w:t>at constant exchange rate</w:t>
      </w:r>
      <w:r w:rsidR="00180D93">
        <w:rPr>
          <w:color w:val="000000" w:themeColor="text1"/>
          <w:lang w:val="en-US"/>
        </w:rPr>
        <w:t>s</w:t>
      </w:r>
      <w:r w:rsidRPr="009C238A">
        <w:rPr>
          <w:color w:val="000000" w:themeColor="text1"/>
          <w:lang w:val="en-US"/>
        </w:rPr>
        <w:t xml:space="preserve"> </w:t>
      </w:r>
      <w:r w:rsidRPr="009C238A">
        <w:rPr>
          <w:lang w:val="en-US"/>
        </w:rPr>
        <w:t>(</w:t>
      </w:r>
      <w:r w:rsidR="006B006A">
        <w:rPr>
          <w:lang w:val="en-US"/>
        </w:rPr>
        <w:t>-</w:t>
      </w:r>
      <w:r w:rsidRPr="009C238A">
        <w:rPr>
          <w:lang w:val="en-US"/>
        </w:rPr>
        <w:t xml:space="preserve">14.5% </w:t>
      </w:r>
      <w:r w:rsidRPr="009C238A">
        <w:rPr>
          <w:color w:val="000000" w:themeColor="text1"/>
          <w:lang w:val="en-US"/>
        </w:rPr>
        <w:t>at current exchange rate</w:t>
      </w:r>
      <w:r w:rsidR="00180D93">
        <w:rPr>
          <w:color w:val="000000" w:themeColor="text1"/>
          <w:lang w:val="en-US"/>
        </w:rPr>
        <w:t>s</w:t>
      </w:r>
      <w:r w:rsidRPr="009C238A">
        <w:rPr>
          <w:lang w:val="en-US"/>
        </w:rPr>
        <w:t xml:space="preserve">) </w:t>
      </w:r>
      <w:r w:rsidRPr="009C238A">
        <w:rPr>
          <w:color w:val="000000" w:themeColor="text1"/>
          <w:lang w:val="en-US"/>
        </w:rPr>
        <w:t>compared with the same period last year</w:t>
      </w:r>
      <w:r w:rsidRPr="009C238A">
        <w:rPr>
          <w:lang w:val="en-US"/>
        </w:rPr>
        <w:t>.</w:t>
      </w:r>
    </w:p>
    <w:p w:rsidR="009072DB" w:rsidRPr="009C238A" w:rsidRDefault="009072DB" w:rsidP="009072DB">
      <w:pPr>
        <w:spacing w:before="240" w:line="240" w:lineRule="atLeast"/>
        <w:ind w:right="-54"/>
        <w:jc w:val="both"/>
        <w:rPr>
          <w:lang w:val="en-US"/>
        </w:rPr>
      </w:pPr>
      <w:r w:rsidRPr="009C238A">
        <w:rPr>
          <w:color w:val="000000" w:themeColor="text1"/>
          <w:lang w:val="en-US"/>
        </w:rPr>
        <w:t xml:space="preserve">As reported in the previous quarters, North America performance was mainly impacted by lower Vitamin D sales </w:t>
      </w:r>
      <w:r w:rsidRPr="009C238A">
        <w:rPr>
          <w:lang w:val="en-US"/>
        </w:rPr>
        <w:t xml:space="preserve">(-14.2% </w:t>
      </w:r>
      <w:r w:rsidRPr="009C238A">
        <w:rPr>
          <w:color w:val="000000" w:themeColor="text1"/>
          <w:lang w:val="en-US"/>
        </w:rPr>
        <w:t>at constant exchange rate</w:t>
      </w:r>
      <w:r w:rsidR="00180D93">
        <w:rPr>
          <w:color w:val="000000" w:themeColor="text1"/>
          <w:lang w:val="en-US"/>
        </w:rPr>
        <w:t>s</w:t>
      </w:r>
      <w:r w:rsidRPr="009C238A">
        <w:rPr>
          <w:lang w:val="en-US"/>
        </w:rPr>
        <w:t xml:space="preserve">, -19.2% </w:t>
      </w:r>
      <w:r w:rsidRPr="009C238A">
        <w:rPr>
          <w:color w:val="000000" w:themeColor="text1"/>
          <w:lang w:val="en-US"/>
        </w:rPr>
        <w:t>at current exchange rate</w:t>
      </w:r>
      <w:r w:rsidR="00180D93">
        <w:rPr>
          <w:color w:val="000000" w:themeColor="text1"/>
          <w:lang w:val="en-US"/>
        </w:rPr>
        <w:t>s</w:t>
      </w:r>
      <w:r w:rsidRPr="009C238A">
        <w:rPr>
          <w:lang w:val="en-US"/>
        </w:rPr>
        <w:t>). It should be noted that volumes did not change compared with the same period in 2012. Therefore the revenues decrease is the result of the different mix of customers and lower average selling price (even though this trend slowed down compared with the previous quarters). On the contrary, revenues of CLIA specialties, increased 24.1% at constant exchange rate</w:t>
      </w:r>
      <w:r w:rsidR="00180D93">
        <w:rPr>
          <w:lang w:val="en-US"/>
        </w:rPr>
        <w:t>s</w:t>
      </w:r>
      <w:r w:rsidRPr="009C238A">
        <w:rPr>
          <w:lang w:val="en-US"/>
        </w:rPr>
        <w:t xml:space="preserve"> (+17</w:t>
      </w:r>
      <w:r w:rsidR="00180D93">
        <w:rPr>
          <w:lang w:val="en-US"/>
        </w:rPr>
        <w:t>.</w:t>
      </w:r>
      <w:r w:rsidRPr="009C238A">
        <w:rPr>
          <w:lang w:val="en-US"/>
        </w:rPr>
        <w:t>6% at current exchange rate</w:t>
      </w:r>
      <w:r w:rsidR="00180D93">
        <w:rPr>
          <w:lang w:val="en-US"/>
        </w:rPr>
        <w:t>s</w:t>
      </w:r>
      <w:r w:rsidRPr="009C238A">
        <w:rPr>
          <w:lang w:val="en-US"/>
        </w:rPr>
        <w:t xml:space="preserve">). </w:t>
      </w:r>
    </w:p>
    <w:p w:rsidR="00102026" w:rsidRDefault="00102026" w:rsidP="009072DB">
      <w:pPr>
        <w:spacing w:before="240" w:line="276" w:lineRule="auto"/>
        <w:ind w:right="-54"/>
        <w:jc w:val="both"/>
        <w:rPr>
          <w:bCs/>
          <w:i/>
          <w:lang w:val="en-US"/>
        </w:rPr>
      </w:pPr>
    </w:p>
    <w:p w:rsidR="009072DB" w:rsidRPr="003418C6" w:rsidRDefault="009072DB" w:rsidP="003418C6">
      <w:pPr>
        <w:spacing w:before="240" w:line="240" w:lineRule="atLeast"/>
        <w:ind w:right="-54"/>
        <w:jc w:val="both"/>
        <w:rPr>
          <w:i/>
          <w:lang w:val="en-US"/>
        </w:rPr>
      </w:pPr>
      <w:r w:rsidRPr="003418C6">
        <w:rPr>
          <w:i/>
          <w:lang w:val="en-US"/>
        </w:rPr>
        <w:t xml:space="preserve">Asia Pacific </w:t>
      </w:r>
    </w:p>
    <w:p w:rsidR="002452DF" w:rsidRPr="003418C6" w:rsidRDefault="009072DB" w:rsidP="003418C6">
      <w:pPr>
        <w:spacing w:before="240" w:line="240" w:lineRule="atLeast"/>
        <w:ind w:right="-54"/>
        <w:jc w:val="both"/>
        <w:rPr>
          <w:color w:val="000000" w:themeColor="text1"/>
          <w:lang w:val="en-US"/>
        </w:rPr>
      </w:pPr>
      <w:r w:rsidRPr="003418C6">
        <w:rPr>
          <w:color w:val="000000" w:themeColor="text1"/>
          <w:lang w:val="en-US"/>
        </w:rPr>
        <w:t>In third quarter of 2013, the Asia Pacific sales region reported revenues of 16,495 thousand euros, up 18.4% compared with the same period last year (+12.7% at current exchange rate</w:t>
      </w:r>
      <w:r w:rsidR="00180D93" w:rsidRPr="003418C6">
        <w:rPr>
          <w:color w:val="000000" w:themeColor="text1"/>
          <w:lang w:val="en-US"/>
        </w:rPr>
        <w:t>s</w:t>
      </w:r>
      <w:r w:rsidRPr="003418C6">
        <w:rPr>
          <w:color w:val="000000" w:themeColor="text1"/>
          <w:lang w:val="en-US"/>
        </w:rPr>
        <w:t xml:space="preserve">). </w:t>
      </w:r>
    </w:p>
    <w:p w:rsidR="003E0C79" w:rsidRDefault="009072DB" w:rsidP="004C6914">
      <w:pPr>
        <w:spacing w:line="240" w:lineRule="atLeast"/>
        <w:ind w:right="-57"/>
        <w:jc w:val="both"/>
        <w:rPr>
          <w:lang w:val="en-US"/>
        </w:rPr>
      </w:pPr>
      <w:r w:rsidRPr="009C238A">
        <w:rPr>
          <w:lang w:val="en-US"/>
        </w:rPr>
        <w:t>In China sales increased by 16.1% (</w:t>
      </w:r>
      <w:r w:rsidR="002452DF">
        <w:rPr>
          <w:lang w:val="en-US"/>
        </w:rPr>
        <w:t>+</w:t>
      </w:r>
      <w:r w:rsidRPr="009C238A">
        <w:rPr>
          <w:lang w:val="en-US"/>
        </w:rPr>
        <w:t>13.6% at current exchange rate</w:t>
      </w:r>
      <w:r w:rsidR="009A5139">
        <w:rPr>
          <w:lang w:val="en-US"/>
        </w:rPr>
        <w:t>s), and</w:t>
      </w:r>
      <w:r w:rsidRPr="009C238A">
        <w:rPr>
          <w:lang w:val="en-US"/>
        </w:rPr>
        <w:t xml:space="preserve"> CLIA sales increased about 58% at constant exchange rate</w:t>
      </w:r>
      <w:r w:rsidR="009A5139">
        <w:rPr>
          <w:lang w:val="en-US"/>
        </w:rPr>
        <w:t>s</w:t>
      </w:r>
      <w:r w:rsidRPr="009C238A">
        <w:rPr>
          <w:lang w:val="en-US"/>
        </w:rPr>
        <w:t xml:space="preserve">. </w:t>
      </w:r>
    </w:p>
    <w:p w:rsidR="004C6914" w:rsidRDefault="009072DB" w:rsidP="004C6914">
      <w:pPr>
        <w:spacing w:line="240" w:lineRule="atLeast"/>
        <w:ind w:right="-57"/>
        <w:jc w:val="both"/>
        <w:rPr>
          <w:lang w:val="en-US"/>
        </w:rPr>
      </w:pPr>
      <w:r w:rsidRPr="009C238A">
        <w:rPr>
          <w:lang w:val="en-US"/>
        </w:rPr>
        <w:t xml:space="preserve">In Australia, sales increased </w:t>
      </w:r>
      <w:r w:rsidR="005A5471">
        <w:rPr>
          <w:lang w:val="en-US"/>
        </w:rPr>
        <w:t xml:space="preserve">by </w:t>
      </w:r>
      <w:r w:rsidRPr="009C238A">
        <w:rPr>
          <w:lang w:val="en-US"/>
        </w:rPr>
        <w:t>13.7% at constant exchange rate</w:t>
      </w:r>
      <w:r w:rsidR="005A5471">
        <w:rPr>
          <w:lang w:val="en-US"/>
        </w:rPr>
        <w:t>s</w:t>
      </w:r>
      <w:r w:rsidRPr="009C238A">
        <w:rPr>
          <w:lang w:val="en-US"/>
        </w:rPr>
        <w:t>, due to the strong performance of Vitamin D and CLIA products (sales more than doubled compared with 2012). The Australian dollar lost value versus the euro, at current exchange rate</w:t>
      </w:r>
      <w:r w:rsidR="005A5471">
        <w:rPr>
          <w:lang w:val="en-US"/>
        </w:rPr>
        <w:t>s</w:t>
      </w:r>
      <w:r w:rsidRPr="009C238A">
        <w:rPr>
          <w:lang w:val="en-US"/>
        </w:rPr>
        <w:t xml:space="preserve"> (sales decreased</w:t>
      </w:r>
      <w:r w:rsidR="005A5471">
        <w:rPr>
          <w:lang w:val="en-US"/>
        </w:rPr>
        <w:t xml:space="preserve"> by</w:t>
      </w:r>
      <w:r w:rsidRPr="009C238A">
        <w:rPr>
          <w:lang w:val="en-US"/>
        </w:rPr>
        <w:t xml:space="preserve"> 5.5% comp</w:t>
      </w:r>
      <w:r w:rsidR="004C6914">
        <w:rPr>
          <w:lang w:val="en-US"/>
        </w:rPr>
        <w:t xml:space="preserve">ared with 2012). </w:t>
      </w:r>
    </w:p>
    <w:p w:rsidR="009072DB" w:rsidRPr="009C238A" w:rsidRDefault="004C6914" w:rsidP="004C6914">
      <w:pPr>
        <w:spacing w:line="240" w:lineRule="atLeast"/>
        <w:ind w:right="-57"/>
        <w:jc w:val="both"/>
        <w:rPr>
          <w:lang w:val="en-US"/>
        </w:rPr>
      </w:pPr>
      <w:r>
        <w:rPr>
          <w:lang w:val="en-US"/>
        </w:rPr>
        <w:t>Sales grew by</w:t>
      </w:r>
      <w:r w:rsidR="009072DB" w:rsidRPr="009C238A">
        <w:rPr>
          <w:lang w:val="en-US"/>
        </w:rPr>
        <w:t xml:space="preserve"> 10% compared with the same period last year in markets where the Group does not have a direct presence.</w:t>
      </w:r>
    </w:p>
    <w:p w:rsidR="00102026" w:rsidRDefault="00102026" w:rsidP="009072DB">
      <w:pPr>
        <w:spacing w:before="240" w:line="240" w:lineRule="atLeast"/>
        <w:ind w:right="-54"/>
        <w:jc w:val="both"/>
        <w:rPr>
          <w:i/>
          <w:lang w:val="en-US"/>
        </w:rPr>
      </w:pPr>
    </w:p>
    <w:p w:rsidR="009072DB" w:rsidRPr="009C238A" w:rsidRDefault="009072DB" w:rsidP="009072DB">
      <w:pPr>
        <w:spacing w:before="240" w:line="240" w:lineRule="atLeast"/>
        <w:ind w:right="-54"/>
        <w:jc w:val="both"/>
        <w:rPr>
          <w:i/>
          <w:lang w:val="en-US"/>
        </w:rPr>
      </w:pPr>
      <w:r w:rsidRPr="009C238A">
        <w:rPr>
          <w:i/>
          <w:lang w:val="en-US"/>
        </w:rPr>
        <w:t>Central and South America</w:t>
      </w:r>
    </w:p>
    <w:p w:rsidR="004C6914" w:rsidRPr="00C7127F" w:rsidRDefault="003E0C79" w:rsidP="00C7127F">
      <w:pPr>
        <w:spacing w:before="240" w:line="240" w:lineRule="atLeast"/>
        <w:ind w:right="-54"/>
        <w:jc w:val="both"/>
        <w:rPr>
          <w:color w:val="000000" w:themeColor="text1"/>
          <w:lang w:val="en-US"/>
        </w:rPr>
      </w:pPr>
      <w:r w:rsidRPr="00C7127F">
        <w:rPr>
          <w:color w:val="000000" w:themeColor="text1"/>
          <w:lang w:val="en-US"/>
        </w:rPr>
        <w:t>In third quarter of 2013, t</w:t>
      </w:r>
      <w:r w:rsidR="009072DB" w:rsidRPr="00C7127F">
        <w:rPr>
          <w:color w:val="000000" w:themeColor="text1"/>
          <w:lang w:val="en-US"/>
        </w:rPr>
        <w:t>he Latin American sales region reported revenues of 12,077 thousand euros, up 13.2% at constant exchange rate</w:t>
      </w:r>
      <w:r w:rsidR="004C6914" w:rsidRPr="00C7127F">
        <w:rPr>
          <w:color w:val="000000" w:themeColor="text1"/>
          <w:lang w:val="en-US"/>
        </w:rPr>
        <w:t>s</w:t>
      </w:r>
      <w:r w:rsidR="009072DB" w:rsidRPr="00C7127F">
        <w:rPr>
          <w:color w:val="000000" w:themeColor="text1"/>
          <w:lang w:val="en-US"/>
        </w:rPr>
        <w:t xml:space="preserve"> compared with the third quarter of 2012 and substantially in line at current exchange rate</w:t>
      </w:r>
      <w:r w:rsidR="004C6914" w:rsidRPr="00C7127F">
        <w:rPr>
          <w:color w:val="000000" w:themeColor="text1"/>
          <w:lang w:val="en-US"/>
        </w:rPr>
        <w:t>s</w:t>
      </w:r>
      <w:r w:rsidR="009072DB" w:rsidRPr="00C7127F">
        <w:rPr>
          <w:color w:val="000000" w:themeColor="text1"/>
          <w:lang w:val="en-US"/>
        </w:rPr>
        <w:t xml:space="preserve"> due to the Brazilian real depreciation. This change is the result of the higher sales in countries where the Group operates through local distributors (+45.5% compared with 2012) together with the Brazilian subsidiary performance, up 4.5% at constant exchange rate</w:t>
      </w:r>
      <w:r w:rsidR="004C6914" w:rsidRPr="00C7127F">
        <w:rPr>
          <w:color w:val="000000" w:themeColor="text1"/>
          <w:lang w:val="en-US"/>
        </w:rPr>
        <w:t>s (</w:t>
      </w:r>
      <w:r w:rsidR="009072DB" w:rsidRPr="00C7127F">
        <w:rPr>
          <w:color w:val="000000" w:themeColor="text1"/>
          <w:lang w:val="en-US"/>
        </w:rPr>
        <w:t>-14% at current exchange rate</w:t>
      </w:r>
      <w:r w:rsidR="004C6914" w:rsidRPr="00C7127F">
        <w:rPr>
          <w:color w:val="000000" w:themeColor="text1"/>
          <w:lang w:val="en-US"/>
        </w:rPr>
        <w:t>s</w:t>
      </w:r>
      <w:r w:rsidR="009072DB" w:rsidRPr="00C7127F">
        <w:rPr>
          <w:color w:val="000000" w:themeColor="text1"/>
          <w:lang w:val="en-US"/>
        </w:rPr>
        <w:t xml:space="preserve">). The change is due to the Brazilian subsidiary’s stronger sales of CLIA reagents (+24% compared with the same period in 2012). </w:t>
      </w:r>
    </w:p>
    <w:p w:rsidR="009072DB" w:rsidRPr="009C238A" w:rsidRDefault="009072DB" w:rsidP="009072DB">
      <w:pPr>
        <w:pStyle w:val="Testodelblocco"/>
        <w:tabs>
          <w:tab w:val="left" w:pos="360"/>
        </w:tabs>
        <w:ind w:left="0" w:right="0"/>
        <w:rPr>
          <w:lang w:val="en-US" w:eastAsia="it-IT"/>
        </w:rPr>
      </w:pPr>
      <w:r w:rsidRPr="009C238A">
        <w:rPr>
          <w:lang w:val="en-US" w:eastAsia="it-IT"/>
        </w:rPr>
        <w:t>In the third quarter of 2013, net of the currency effect, th</w:t>
      </w:r>
      <w:r w:rsidR="004C6914">
        <w:rPr>
          <w:lang w:val="en-US" w:eastAsia="it-IT"/>
        </w:rPr>
        <w:t>e</w:t>
      </w:r>
      <w:r w:rsidRPr="009C238A">
        <w:rPr>
          <w:lang w:val="en-US" w:eastAsia="it-IT"/>
        </w:rPr>
        <w:t xml:space="preserve"> sales of the Mexican subsidiary increased by 8.6 percentage points (+5% at current exchange rate</w:t>
      </w:r>
      <w:r w:rsidR="004C6914">
        <w:rPr>
          <w:lang w:val="en-US" w:eastAsia="it-IT"/>
        </w:rPr>
        <w:t>s</w:t>
      </w:r>
      <w:r w:rsidRPr="009C238A">
        <w:rPr>
          <w:lang w:val="en-US" w:eastAsia="it-IT"/>
        </w:rPr>
        <w:t>) compared with the third quarter of 2012.</w:t>
      </w:r>
    </w:p>
    <w:p w:rsidR="009072DB" w:rsidRPr="009C238A" w:rsidRDefault="009072DB" w:rsidP="009072DB">
      <w:pPr>
        <w:rPr>
          <w:i/>
          <w:highlight w:val="yellow"/>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p>
    <w:p w:rsidR="009072DB" w:rsidRPr="009C238A" w:rsidRDefault="009072DB" w:rsidP="009072DB">
      <w:pPr>
        <w:rPr>
          <w:b/>
          <w:i/>
          <w:lang w:val="en-US"/>
        </w:rPr>
      </w:pPr>
      <w:r w:rsidRPr="009C238A">
        <w:rPr>
          <w:rFonts w:eastAsia="Arial Unicode MS"/>
          <w:b/>
          <w:i/>
          <w:color w:val="000000" w:themeColor="text1"/>
          <w:lang w:val="en-US"/>
        </w:rPr>
        <w:lastRenderedPageBreak/>
        <w:t>Breakdown of revenues by technology</w:t>
      </w:r>
      <w:r w:rsidRPr="009C238A">
        <w:rPr>
          <w:b/>
          <w:i/>
          <w:color w:val="000000" w:themeColor="text1"/>
          <w:lang w:val="en-US"/>
        </w:rPr>
        <w:t xml:space="preserve"> </w:t>
      </w:r>
    </w:p>
    <w:p w:rsidR="009072DB" w:rsidRPr="009C238A" w:rsidRDefault="009072DB" w:rsidP="009072DB">
      <w:pPr>
        <w:spacing w:before="240" w:after="240" w:line="240" w:lineRule="atLeast"/>
        <w:ind w:right="-54"/>
        <w:jc w:val="both"/>
        <w:rPr>
          <w:color w:val="000000" w:themeColor="text1"/>
          <w:lang w:val="en-US"/>
        </w:rPr>
      </w:pPr>
      <w:r w:rsidRPr="009C238A">
        <w:rPr>
          <w:color w:val="000000" w:themeColor="text1"/>
          <w:lang w:val="en-US"/>
        </w:rPr>
        <w:t xml:space="preserve">The tables that follow show the percentage of the Group’s consolidated revenues contributed by each technology in the third quarter of 2013 and 2012. </w:t>
      </w:r>
    </w:p>
    <w:tbl>
      <w:tblPr>
        <w:tblW w:w="5000" w:type="pct"/>
        <w:tblCellMar>
          <w:left w:w="70" w:type="dxa"/>
          <w:right w:w="70" w:type="dxa"/>
        </w:tblCellMar>
        <w:tblLook w:val="00A0"/>
      </w:tblPr>
      <w:tblGrid>
        <w:gridCol w:w="5219"/>
        <w:gridCol w:w="2280"/>
        <w:gridCol w:w="2280"/>
      </w:tblGrid>
      <w:tr w:rsidR="009072DB" w:rsidRPr="009C238A" w:rsidTr="009072DB">
        <w:trPr>
          <w:trHeight w:val="510"/>
        </w:trPr>
        <w:tc>
          <w:tcPr>
            <w:tcW w:w="2668" w:type="pct"/>
            <w:tcBorders>
              <w:top w:val="single" w:sz="4" w:space="0" w:color="auto"/>
              <w:left w:val="nil"/>
              <w:bottom w:val="single" w:sz="4" w:space="0" w:color="auto"/>
              <w:right w:val="nil"/>
            </w:tcBorders>
            <w:vAlign w:val="center"/>
          </w:tcPr>
          <w:p w:rsidR="009072DB" w:rsidRPr="009C238A" w:rsidRDefault="009072DB" w:rsidP="009072DB">
            <w:pPr>
              <w:rPr>
                <w:i/>
                <w:iCs/>
                <w:sz w:val="20"/>
                <w:szCs w:val="20"/>
                <w:lang w:val="en-US"/>
              </w:rPr>
            </w:pPr>
            <w:r w:rsidRPr="009C238A">
              <w:rPr>
                <w:i/>
                <w:iCs/>
                <w:color w:val="000000" w:themeColor="text1"/>
                <w:lang w:val="en-US"/>
              </w:rPr>
              <w:t>% of revenues contributed</w:t>
            </w:r>
          </w:p>
        </w:tc>
        <w:tc>
          <w:tcPr>
            <w:tcW w:w="1166"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2013</w:t>
            </w:r>
          </w:p>
        </w:tc>
        <w:tc>
          <w:tcPr>
            <w:tcW w:w="1166"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2012</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RIA</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3.0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3.5 </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ELISA</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14.9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18.0 </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CLIA</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69.4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66.4 </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MOLECULAR</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0.7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0.8 </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Instruments sales and other revenues</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12.0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11.3 </w:t>
            </w:r>
          </w:p>
        </w:tc>
      </w:tr>
      <w:tr w:rsidR="009072DB" w:rsidRPr="009C238A" w:rsidTr="009072DB">
        <w:trPr>
          <w:trHeight w:val="255"/>
        </w:trPr>
        <w:tc>
          <w:tcPr>
            <w:tcW w:w="2668"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sz w:val="20"/>
                <w:szCs w:val="20"/>
                <w:lang w:val="en-US"/>
              </w:rPr>
              <w:t>Total</w:t>
            </w:r>
          </w:p>
        </w:tc>
        <w:tc>
          <w:tcPr>
            <w:tcW w:w="1166"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 xml:space="preserve">             100.0 </w:t>
            </w:r>
          </w:p>
        </w:tc>
        <w:tc>
          <w:tcPr>
            <w:tcW w:w="1166"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 xml:space="preserve">             100.0 </w:t>
            </w:r>
          </w:p>
        </w:tc>
      </w:tr>
    </w:tbl>
    <w:p w:rsidR="009072DB" w:rsidRPr="009C238A" w:rsidRDefault="00F11DD1" w:rsidP="009072DB">
      <w:pPr>
        <w:spacing w:before="240" w:after="240" w:line="240" w:lineRule="atLeast"/>
        <w:ind w:right="-54"/>
        <w:jc w:val="both"/>
        <w:rPr>
          <w:lang w:val="en-US"/>
        </w:rPr>
      </w:pPr>
      <w:r w:rsidRPr="00F11DD1">
        <w:rPr>
          <w:noProof/>
          <w:lang w:val="en-US" w:eastAsia="en-US"/>
        </w:rPr>
        <w:drawing>
          <wp:inline distT="0" distB="0" distL="0" distR="0">
            <wp:extent cx="6120765" cy="183496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1834960"/>
                    </a:xfrm>
                    <a:prstGeom prst="rect">
                      <a:avLst/>
                    </a:prstGeom>
                    <a:noFill/>
                    <a:ln>
                      <a:noFill/>
                    </a:ln>
                  </pic:spPr>
                </pic:pic>
              </a:graphicData>
            </a:graphic>
          </wp:inline>
        </w:drawing>
      </w:r>
    </w:p>
    <w:p w:rsidR="009072DB" w:rsidRPr="009C238A" w:rsidRDefault="009072DB" w:rsidP="009072DB">
      <w:pPr>
        <w:spacing w:before="240" w:after="240" w:line="240" w:lineRule="atLeast"/>
        <w:ind w:right="-54"/>
        <w:jc w:val="center"/>
        <w:rPr>
          <w:lang w:val="en-US"/>
        </w:rPr>
      </w:pP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In the third quarter of 2013, the percentage of total revenues provided by CLIA products increased, due to the abovementioned rising sales of LIAISON reagents, completely offsetting the decline in Vitamin D. The data in the table reflect the steady physiological decline of the contribution provided by the RIA and ELISA technologies (which are more dated and function on open systems). Revenues generated by instrument sale grew by 10.3% at constant exchange rate</w:t>
      </w:r>
      <w:r w:rsidR="00EE5DC7">
        <w:rPr>
          <w:color w:val="000000" w:themeColor="text1"/>
          <w:lang w:val="en-US"/>
        </w:rPr>
        <w:t>s</w:t>
      </w:r>
      <w:r w:rsidRPr="009C238A">
        <w:rPr>
          <w:color w:val="000000" w:themeColor="text1"/>
          <w:lang w:val="en-US"/>
        </w:rPr>
        <w:t xml:space="preserve"> (+5.2% at current exchange rate</w:t>
      </w:r>
      <w:r w:rsidR="00EE5DC7">
        <w:rPr>
          <w:color w:val="000000" w:themeColor="text1"/>
          <w:lang w:val="en-US"/>
        </w:rPr>
        <w:t>s</w:t>
      </w:r>
      <w:r w:rsidRPr="009C238A">
        <w:rPr>
          <w:color w:val="000000" w:themeColor="text1"/>
          <w:lang w:val="en-US"/>
        </w:rPr>
        <w:t>), producing an increase of about 0.5%, compared with the third quarter of 2012. The percentage of molecular sales to revenues is constant and slight below 1%.</w:t>
      </w:r>
    </w:p>
    <w:p w:rsidR="00F41CAE" w:rsidRDefault="00F41CAE" w:rsidP="009072DB">
      <w:pPr>
        <w:pStyle w:val="Titolo3"/>
        <w:tabs>
          <w:tab w:val="clear" w:pos="720"/>
        </w:tabs>
        <w:ind w:left="0" w:hanging="11"/>
        <w:jc w:val="both"/>
        <w:rPr>
          <w:b w:val="0"/>
          <w:color w:val="000000" w:themeColor="text1"/>
          <w:lang w:val="en-US"/>
        </w:rPr>
      </w:pPr>
    </w:p>
    <w:p w:rsidR="009072DB" w:rsidRPr="009C238A" w:rsidRDefault="009072DB" w:rsidP="009072DB">
      <w:pPr>
        <w:pStyle w:val="Titolo3"/>
        <w:tabs>
          <w:tab w:val="clear" w:pos="720"/>
        </w:tabs>
        <w:ind w:left="0" w:hanging="11"/>
        <w:jc w:val="both"/>
        <w:rPr>
          <w:b w:val="0"/>
          <w:color w:val="000000" w:themeColor="text1"/>
          <w:lang w:val="en-US"/>
        </w:rPr>
      </w:pPr>
      <w:r w:rsidRPr="009C238A">
        <w:rPr>
          <w:b w:val="0"/>
          <w:color w:val="000000" w:themeColor="text1"/>
          <w:lang w:val="en-US"/>
        </w:rPr>
        <w:t>At September 30, 2013, a total of about 5,206 LIAISON automated analyzers were installed at facilities operated by direct and indirect Group customers, for an increase of 146 units compared with the installed base at June 30, 2013.</w:t>
      </w:r>
    </w:p>
    <w:p w:rsidR="009072DB" w:rsidRPr="009C238A" w:rsidRDefault="009072DB" w:rsidP="009072DB">
      <w:pPr>
        <w:pStyle w:val="Titolo3"/>
        <w:tabs>
          <w:tab w:val="clear" w:pos="720"/>
        </w:tabs>
        <w:ind w:left="0" w:firstLine="0"/>
        <w:rPr>
          <w:lang w:val="en-US"/>
        </w:rPr>
      </w:pPr>
    </w:p>
    <w:p w:rsidR="009072DB" w:rsidRPr="009C238A" w:rsidRDefault="009072DB" w:rsidP="009072DB">
      <w:pPr>
        <w:spacing w:before="240" w:line="240" w:lineRule="atLeast"/>
        <w:ind w:right="-54"/>
        <w:jc w:val="both"/>
        <w:rPr>
          <w:b/>
          <w:bCs/>
          <w:color w:val="000000" w:themeColor="text1"/>
          <w:lang w:val="en-US"/>
        </w:rPr>
      </w:pPr>
      <w:r w:rsidRPr="009C238A">
        <w:rPr>
          <w:b/>
          <w:bCs/>
          <w:color w:val="000000" w:themeColor="text1"/>
          <w:lang w:val="en-US"/>
        </w:rPr>
        <w:t xml:space="preserve">Operating performance </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 xml:space="preserve">The evaluation of the Group’s operating performance in the third quarter 2013 is in line with the expectations and trend booked in the last quarters, though euro appreciation in value vis-à-vis with the other currencies used by the Group influenced Diasorin’s operating performance. </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In the third quarter of 2013, the gross profit amounted to 70,683 thousand euros, compared with 72,613 thousand euros in the same period in 2012. The ratio of gross profit to revenues decreased from 69.5% to 67.8%. This trend resulted from the different geographic sales mix of the periods under comparison.</w:t>
      </w:r>
    </w:p>
    <w:p w:rsidR="009072DB" w:rsidRPr="009C238A" w:rsidRDefault="009072DB" w:rsidP="009072DB">
      <w:pPr>
        <w:spacing w:before="240" w:after="240"/>
        <w:ind w:right="-54"/>
        <w:jc w:val="both"/>
        <w:rPr>
          <w:lang w:val="en-US"/>
        </w:rPr>
      </w:pPr>
      <w:r w:rsidRPr="009C238A">
        <w:rPr>
          <w:color w:val="000000" w:themeColor="text1"/>
          <w:lang w:val="en-US"/>
        </w:rPr>
        <w:lastRenderedPageBreak/>
        <w:t>In the third quarter of 2013, operating expenses totaled 37,232 thousand euros, up by 0.7 percentage points compared with the same period in 2012. The ratio of operating expenses to total revenues increased from 35.4% to 35.7%, as a result of the Molecular diagnostics business in start</w:t>
      </w:r>
      <w:r w:rsidR="00865645">
        <w:rPr>
          <w:color w:val="000000" w:themeColor="text1"/>
          <w:lang w:val="en-US"/>
        </w:rPr>
        <w:t>-</w:t>
      </w:r>
      <w:r w:rsidRPr="009C238A">
        <w:rPr>
          <w:color w:val="000000" w:themeColor="text1"/>
          <w:lang w:val="en-US"/>
        </w:rPr>
        <w:t>up phase</w:t>
      </w:r>
      <w:r w:rsidRPr="009C238A">
        <w:rPr>
          <w:lang w:val="en-US"/>
        </w:rPr>
        <w:t xml:space="preserve"> and expenses related to the technical support for the growing installed base. The foreign exchange market positively impacted the operating expenses for about 1.2 million euros. </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Research and development costs totaled 5,524 thousand euros, in line with 2012 results (5,585 thousand euros in the third quarter of 2012) and refer mainly to activities concerning the development of molecular diagnostics new products. In the third quarter of 2013, the ratio of research and development costs to revenues amounted to 5.3 percentage points, in line with the third quarter of 2012.</w:t>
      </w:r>
    </w:p>
    <w:p w:rsidR="00A95B29" w:rsidRDefault="00A95B29" w:rsidP="009072DB">
      <w:pPr>
        <w:pStyle w:val="Intestazione"/>
        <w:tabs>
          <w:tab w:val="clear" w:pos="4819"/>
          <w:tab w:val="left" w:pos="240"/>
          <w:tab w:val="center" w:pos="1843"/>
        </w:tabs>
        <w:jc w:val="both"/>
        <w:rPr>
          <w:color w:val="000000" w:themeColor="text1"/>
          <w:lang w:val="en-US"/>
        </w:rPr>
      </w:pPr>
    </w:p>
    <w:p w:rsidR="009072DB" w:rsidRPr="009C238A" w:rsidRDefault="009072DB" w:rsidP="009072DB">
      <w:pPr>
        <w:pStyle w:val="Intestazione"/>
        <w:tabs>
          <w:tab w:val="clear" w:pos="4819"/>
          <w:tab w:val="left" w:pos="240"/>
          <w:tab w:val="center" w:pos="1843"/>
        </w:tabs>
        <w:jc w:val="both"/>
        <w:rPr>
          <w:color w:val="000000" w:themeColor="text1"/>
          <w:lang w:val="en-US"/>
        </w:rPr>
      </w:pPr>
      <w:r w:rsidRPr="009C238A">
        <w:rPr>
          <w:color w:val="000000" w:themeColor="text1"/>
          <w:lang w:val="en-US"/>
        </w:rPr>
        <w:t xml:space="preserve">Sales and marketing expenses totaled 20,303 thousand euros, up by 0.5% compared with the third quarter of 2012, due to the costs incurred to support the launch of new products and expenses of technical support for the instruments at customers facilities. </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General and administrative expenses totaled 11,405 thousand euros, up 1.8% compared with the third quarter of 2012, their ratio to total revenues equal to 10.9 percentage points, up 0.2% compared with the third quarter of 2012.</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Other operating expenses equal to 1,736 thousand euros (1,225 thousand euros in the third quarter of 2012) include a</w:t>
      </w:r>
      <w:r w:rsidR="006E6899">
        <w:rPr>
          <w:color w:val="000000" w:themeColor="text1"/>
          <w:lang w:val="en-US"/>
        </w:rPr>
        <w:t xml:space="preserve"> negative translation adjustment</w:t>
      </w:r>
      <w:r w:rsidRPr="009C238A">
        <w:rPr>
          <w:color w:val="000000" w:themeColor="text1"/>
          <w:lang w:val="en-US"/>
        </w:rPr>
        <w:t xml:space="preserve"> of 798 thousand euros related to commercial items </w:t>
      </w:r>
      <w:r w:rsidR="006E6899">
        <w:rPr>
          <w:color w:val="000000" w:themeColor="text1"/>
          <w:lang w:val="en-US"/>
        </w:rPr>
        <w:t>(negative translation adjustment</w:t>
      </w:r>
      <w:r w:rsidRPr="009C238A">
        <w:rPr>
          <w:color w:val="000000" w:themeColor="text1"/>
          <w:lang w:val="en-US"/>
        </w:rPr>
        <w:t xml:space="preserve"> of 189 thousand euros in the same period of 2012), deriving from a sharp depreciation of the Brazilian Real and the Australian dollar (including 131 thousand euros</w:t>
      </w:r>
      <w:r w:rsidR="006E6899">
        <w:rPr>
          <w:color w:val="000000" w:themeColor="text1"/>
          <w:lang w:val="en-US"/>
        </w:rPr>
        <w:t xml:space="preserve"> recognized purely</w:t>
      </w:r>
      <w:r w:rsidRPr="009C238A">
        <w:rPr>
          <w:color w:val="000000" w:themeColor="text1"/>
          <w:lang w:val="en-US"/>
        </w:rPr>
        <w:t xml:space="preserve"> for valuation purposes) and 476 thousand euros (180 thousand euros in the third quarter of 2012) in tax expenses, including 243 thousand euros for the Medical Device Tax introduced in the United States in 2013.</w:t>
      </w:r>
    </w:p>
    <w:p w:rsidR="009072DB" w:rsidRPr="009C238A" w:rsidRDefault="00CE62DC" w:rsidP="009072DB">
      <w:pPr>
        <w:spacing w:before="240" w:after="240"/>
        <w:ind w:right="-54"/>
        <w:jc w:val="both"/>
        <w:rPr>
          <w:bCs/>
          <w:color w:val="000000" w:themeColor="text1"/>
          <w:lang w:val="en-US"/>
        </w:rPr>
      </w:pPr>
      <w:r>
        <w:rPr>
          <w:color w:val="000000" w:themeColor="text1"/>
          <w:lang w:val="en-US"/>
        </w:rPr>
        <w:t>EBITDA</w:t>
      </w:r>
      <w:r w:rsidR="006E6899">
        <w:rPr>
          <w:color w:val="000000" w:themeColor="text1"/>
          <w:lang w:val="en-US"/>
        </w:rPr>
        <w:t xml:space="preserve"> amounted</w:t>
      </w:r>
      <w:r w:rsidR="009072DB" w:rsidRPr="009C238A">
        <w:rPr>
          <w:color w:val="000000" w:themeColor="text1"/>
          <w:lang w:val="en-US"/>
        </w:rPr>
        <w:t xml:space="preserve"> to 38,628 thousand euros compared with 41,760 thousand euros in 2012, decreased to 37.1% of revenues (40% of revenues in 2012)</w:t>
      </w:r>
      <w:r w:rsidR="009072DB" w:rsidRPr="009C238A">
        <w:rPr>
          <w:bCs/>
          <w:color w:val="000000" w:themeColor="text1"/>
          <w:lang w:val="en-US"/>
        </w:rPr>
        <w:t xml:space="preserve">. The reduction of 3,132 thousand euros is the result of the abovementioned translation effects equal to </w:t>
      </w:r>
      <w:r w:rsidR="00117329">
        <w:rPr>
          <w:bCs/>
          <w:color w:val="000000" w:themeColor="text1"/>
          <w:lang w:val="en-US"/>
        </w:rPr>
        <w:t xml:space="preserve">over </w:t>
      </w:r>
      <w:r w:rsidR="009072DB" w:rsidRPr="009C238A">
        <w:rPr>
          <w:bCs/>
          <w:color w:val="000000" w:themeColor="text1"/>
          <w:lang w:val="en-US"/>
        </w:rPr>
        <w:t xml:space="preserve">2 million euros. Excluding the molecular business contribution and the exchange rates impact in the periods under comparison, </w:t>
      </w:r>
      <w:r>
        <w:rPr>
          <w:bCs/>
          <w:color w:val="000000" w:themeColor="text1"/>
          <w:lang w:val="en-US"/>
        </w:rPr>
        <w:t>EBITDA</w:t>
      </w:r>
      <w:r w:rsidR="009072DB" w:rsidRPr="009C238A">
        <w:rPr>
          <w:bCs/>
          <w:color w:val="000000" w:themeColor="text1"/>
          <w:lang w:val="en-US"/>
        </w:rPr>
        <w:t xml:space="preserve"> would be equal to 39.5 percentag</w:t>
      </w:r>
      <w:r w:rsidR="006E6899">
        <w:rPr>
          <w:bCs/>
          <w:color w:val="000000" w:themeColor="text1"/>
          <w:lang w:val="en-US"/>
        </w:rPr>
        <w:t>e points of revenues (about 42</w:t>
      </w:r>
      <w:r w:rsidR="009072DB" w:rsidRPr="009C238A">
        <w:rPr>
          <w:bCs/>
          <w:color w:val="000000" w:themeColor="text1"/>
          <w:lang w:val="en-US"/>
        </w:rPr>
        <w:t>% in 2012) confirming the performance of the previous quarters.</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In the third quarter of 2013, EBIT totaled 31,715 thousand euros, equal to 30.4% of revenues (32.9% the same period in 2012).</w:t>
      </w:r>
    </w:p>
    <w:p w:rsidR="009072DB" w:rsidRPr="009C238A" w:rsidRDefault="009072DB" w:rsidP="009072DB">
      <w:pPr>
        <w:spacing w:before="240" w:after="240"/>
        <w:ind w:right="-54"/>
        <w:jc w:val="both"/>
        <w:rPr>
          <w:lang w:val="en-US"/>
        </w:rPr>
      </w:pPr>
    </w:p>
    <w:p w:rsidR="009072DB" w:rsidRPr="009C238A" w:rsidRDefault="009072DB" w:rsidP="009072DB">
      <w:pPr>
        <w:spacing w:line="240" w:lineRule="atLeast"/>
        <w:ind w:right="-54"/>
        <w:jc w:val="both"/>
        <w:rPr>
          <w:b/>
          <w:bCs/>
          <w:color w:val="000000" w:themeColor="text1"/>
          <w:lang w:val="en-US"/>
        </w:rPr>
      </w:pPr>
      <w:r w:rsidRPr="009C238A">
        <w:rPr>
          <w:b/>
          <w:bCs/>
          <w:color w:val="000000" w:themeColor="text1"/>
          <w:lang w:val="en-US"/>
        </w:rPr>
        <w:t>Financial income and expense</w:t>
      </w:r>
    </w:p>
    <w:p w:rsidR="009072DB" w:rsidRPr="009C238A" w:rsidRDefault="009072DB" w:rsidP="009072DB">
      <w:pPr>
        <w:spacing w:line="240" w:lineRule="atLeast"/>
        <w:ind w:right="-54"/>
        <w:jc w:val="both"/>
        <w:rPr>
          <w:i/>
          <w:lang w:val="en-US"/>
        </w:rPr>
      </w:pPr>
    </w:p>
    <w:p w:rsidR="009072DB" w:rsidRPr="009C238A" w:rsidRDefault="009072DB" w:rsidP="009072DB">
      <w:pPr>
        <w:tabs>
          <w:tab w:val="left" w:pos="360"/>
        </w:tabs>
        <w:jc w:val="both"/>
        <w:rPr>
          <w:color w:val="000000" w:themeColor="text1"/>
          <w:lang w:val="en-US"/>
        </w:rPr>
      </w:pPr>
      <w:r w:rsidRPr="009C238A">
        <w:rPr>
          <w:color w:val="000000" w:themeColor="text1"/>
          <w:lang w:val="en-US"/>
        </w:rPr>
        <w:t>In the third quarter of 2013, net financial expense</w:t>
      </w:r>
      <w:r w:rsidR="007C7996">
        <w:rPr>
          <w:color w:val="000000" w:themeColor="text1"/>
          <w:lang w:val="en-US"/>
        </w:rPr>
        <w:t>s</w:t>
      </w:r>
      <w:r w:rsidRPr="009C238A">
        <w:rPr>
          <w:color w:val="000000" w:themeColor="text1"/>
          <w:lang w:val="en-US"/>
        </w:rPr>
        <w:t xml:space="preserve"> totaled 937 thousand euros, compared with net financial expense</w:t>
      </w:r>
      <w:r w:rsidR="007C7996">
        <w:rPr>
          <w:color w:val="000000" w:themeColor="text1"/>
          <w:lang w:val="en-US"/>
        </w:rPr>
        <w:t>s</w:t>
      </w:r>
      <w:r w:rsidRPr="009C238A">
        <w:rPr>
          <w:color w:val="000000" w:themeColor="text1"/>
          <w:lang w:val="en-US"/>
        </w:rPr>
        <w:t xml:space="preserve"> of 578 thousand euros in the same period in 2012.</w:t>
      </w:r>
    </w:p>
    <w:p w:rsidR="009072DB" w:rsidRPr="009C238A" w:rsidRDefault="009072DB" w:rsidP="009072DB">
      <w:pPr>
        <w:tabs>
          <w:tab w:val="left" w:pos="360"/>
        </w:tabs>
        <w:jc w:val="both"/>
        <w:rPr>
          <w:highlight w:val="yellow"/>
          <w:lang w:val="en-US"/>
        </w:rPr>
      </w:pPr>
    </w:p>
    <w:p w:rsidR="009072DB" w:rsidRPr="009C238A" w:rsidRDefault="009072DB" w:rsidP="009072DB">
      <w:pPr>
        <w:pStyle w:val="Paragrafoelenco"/>
        <w:tabs>
          <w:tab w:val="left" w:pos="360"/>
        </w:tabs>
        <w:ind w:left="0"/>
        <w:jc w:val="both"/>
        <w:rPr>
          <w:color w:val="000000" w:themeColor="text1"/>
          <w:sz w:val="23"/>
          <w:szCs w:val="23"/>
          <w:lang w:val="en-US"/>
        </w:rPr>
      </w:pPr>
      <w:r w:rsidRPr="009C238A">
        <w:rPr>
          <w:color w:val="000000" w:themeColor="text1"/>
          <w:sz w:val="23"/>
          <w:szCs w:val="23"/>
          <w:lang w:val="en-US"/>
        </w:rPr>
        <w:t>The fair value of the Group’s financial instruments was positive by 255 thousand euros (471 thousand euros in the third quarter of 2012), recognized purely for valuation purposes.</w:t>
      </w:r>
    </w:p>
    <w:p w:rsidR="009072DB" w:rsidRPr="009C238A" w:rsidRDefault="009072DB" w:rsidP="009072DB">
      <w:pPr>
        <w:pStyle w:val="Paragrafoelenco"/>
        <w:tabs>
          <w:tab w:val="left" w:pos="360"/>
        </w:tabs>
        <w:ind w:left="0"/>
        <w:jc w:val="both"/>
        <w:rPr>
          <w:highlight w:val="yellow"/>
          <w:lang w:val="en-US"/>
        </w:rPr>
      </w:pPr>
    </w:p>
    <w:p w:rsidR="009072DB" w:rsidRPr="009C238A" w:rsidRDefault="009072DB" w:rsidP="009072DB">
      <w:pPr>
        <w:widowControl w:val="0"/>
        <w:autoSpaceDE w:val="0"/>
        <w:autoSpaceDN w:val="0"/>
        <w:adjustRightInd w:val="0"/>
        <w:jc w:val="both"/>
        <w:rPr>
          <w:lang w:val="en-US"/>
        </w:rPr>
      </w:pPr>
      <w:r w:rsidRPr="009C238A">
        <w:rPr>
          <w:color w:val="000000" w:themeColor="text1"/>
          <w:lang w:val="en-US"/>
        </w:rPr>
        <w:t xml:space="preserve">The currency translation effect on other financial balances, which was negative by 416 thousand euros (negative by 92 thousand euros in the third quarter of 2012), </w:t>
      </w:r>
      <w:r w:rsidRPr="009C238A">
        <w:rPr>
          <w:rFonts w:eastAsiaTheme="minorEastAsia"/>
          <w:color w:val="000000" w:themeColor="text1"/>
          <w:lang w:val="en-US"/>
        </w:rPr>
        <w:t xml:space="preserve">related mainly to the Euro exchange rate in the dividends </w:t>
      </w:r>
      <w:r w:rsidR="00222FD9">
        <w:rPr>
          <w:rFonts w:eastAsiaTheme="minorEastAsia"/>
          <w:color w:val="000000" w:themeColor="text1"/>
          <w:lang w:val="en-US"/>
        </w:rPr>
        <w:t>received</w:t>
      </w:r>
      <w:r w:rsidRPr="009C238A">
        <w:rPr>
          <w:rFonts w:eastAsiaTheme="minorEastAsia"/>
          <w:color w:val="000000" w:themeColor="text1"/>
          <w:lang w:val="en-US"/>
        </w:rPr>
        <w:t xml:space="preserve"> </w:t>
      </w:r>
      <w:r w:rsidR="00222FD9">
        <w:rPr>
          <w:rFonts w:eastAsiaTheme="minorEastAsia"/>
          <w:color w:val="000000" w:themeColor="text1"/>
          <w:lang w:val="en-US"/>
        </w:rPr>
        <w:t>by the</w:t>
      </w:r>
      <w:r w:rsidRPr="009C238A">
        <w:rPr>
          <w:rFonts w:eastAsiaTheme="minorEastAsia"/>
          <w:color w:val="000000" w:themeColor="text1"/>
          <w:lang w:val="en-US"/>
        </w:rPr>
        <w:t xml:space="preserve"> </w:t>
      </w:r>
      <w:r w:rsidR="00222FD9">
        <w:rPr>
          <w:rFonts w:eastAsiaTheme="minorEastAsia"/>
          <w:color w:val="000000" w:themeColor="text1"/>
          <w:lang w:val="en-US"/>
        </w:rPr>
        <w:t>Group’s Parent Company</w:t>
      </w:r>
      <w:r w:rsidRPr="009C238A">
        <w:rPr>
          <w:rFonts w:eastAsiaTheme="minorEastAsia"/>
          <w:color w:val="000000" w:themeColor="text1"/>
          <w:lang w:val="en-US"/>
        </w:rPr>
        <w:t xml:space="preserve"> for 163 thousand euros, together with the financial balances of subsidiaries that use currencies different from the Group’s </w:t>
      </w:r>
      <w:r w:rsidRPr="009C238A">
        <w:rPr>
          <w:rFonts w:eastAsiaTheme="minorEastAsia"/>
          <w:color w:val="000000" w:themeColor="text1"/>
          <w:lang w:val="en-US"/>
        </w:rPr>
        <w:lastRenderedPageBreak/>
        <w:t xml:space="preserve">Parent Company currency (131 thousand euros) and the intercompany financing disbursed by the Group’s Parent company to the Australian subsidiary in the local currency (98 thousand euros). </w:t>
      </w:r>
    </w:p>
    <w:p w:rsidR="009072DB" w:rsidRPr="009C238A" w:rsidRDefault="009072DB" w:rsidP="009072DB">
      <w:pPr>
        <w:tabs>
          <w:tab w:val="left" w:pos="0"/>
        </w:tabs>
        <w:jc w:val="both"/>
        <w:rPr>
          <w:highlight w:val="yellow"/>
          <w:lang w:val="en-US"/>
        </w:rPr>
      </w:pPr>
      <w:r w:rsidRPr="009C238A">
        <w:rPr>
          <w:color w:val="000000" w:themeColor="text1"/>
          <w:lang w:val="en-US"/>
        </w:rPr>
        <w:t>Interests and other financial expense</w:t>
      </w:r>
      <w:r w:rsidR="000A6625">
        <w:rPr>
          <w:color w:val="000000" w:themeColor="text1"/>
          <w:lang w:val="en-US"/>
        </w:rPr>
        <w:t>s</w:t>
      </w:r>
      <w:r w:rsidRPr="009C238A">
        <w:rPr>
          <w:color w:val="000000" w:themeColor="text1"/>
          <w:lang w:val="en-US"/>
        </w:rPr>
        <w:t xml:space="preserve"> for the period included 463 thousand euros in factoring transaction fees (666 thousand euros in the third quarter of 2012).</w:t>
      </w:r>
    </w:p>
    <w:p w:rsidR="009072DB" w:rsidRPr="009C238A" w:rsidRDefault="009072DB" w:rsidP="009072DB">
      <w:pPr>
        <w:spacing w:before="240" w:line="240" w:lineRule="atLeast"/>
        <w:ind w:right="-54"/>
        <w:jc w:val="both"/>
        <w:rPr>
          <w:b/>
          <w:bCs/>
          <w:color w:val="000000" w:themeColor="text1"/>
          <w:sz w:val="23"/>
          <w:szCs w:val="23"/>
          <w:lang w:val="en-US"/>
        </w:rPr>
      </w:pPr>
      <w:r w:rsidRPr="009C238A">
        <w:rPr>
          <w:b/>
          <w:bCs/>
          <w:color w:val="000000" w:themeColor="text1"/>
          <w:sz w:val="23"/>
          <w:szCs w:val="23"/>
          <w:lang w:val="en-US"/>
        </w:rPr>
        <w:t xml:space="preserve">Profit before taxes and net profit </w:t>
      </w:r>
    </w:p>
    <w:p w:rsidR="009072DB" w:rsidRPr="009C238A" w:rsidRDefault="009072DB" w:rsidP="009072DB">
      <w:pPr>
        <w:spacing w:before="240" w:line="240" w:lineRule="atLeast"/>
        <w:ind w:right="-54"/>
        <w:jc w:val="both"/>
        <w:rPr>
          <w:color w:val="000000" w:themeColor="text1"/>
          <w:sz w:val="23"/>
          <w:szCs w:val="23"/>
          <w:lang w:val="en-US"/>
        </w:rPr>
      </w:pPr>
      <w:r w:rsidRPr="009C238A">
        <w:rPr>
          <w:color w:val="000000" w:themeColor="text1"/>
          <w:sz w:val="23"/>
          <w:szCs w:val="23"/>
          <w:lang w:val="en-US"/>
        </w:rPr>
        <w:t>The third quarter of 2013 ended with a result before taxes of 30,778 thousand euros, which generated a tax liability of 10,764 thousand euros, down from the same period last year, when the result before taxes and the corresponding tax liability amounted to 33,826 thousand euros and 12,410 thousand euros, respectively.</w:t>
      </w:r>
    </w:p>
    <w:p w:rsidR="009072DB" w:rsidRPr="009C238A" w:rsidRDefault="009072DB" w:rsidP="009072DB">
      <w:pPr>
        <w:spacing w:before="240" w:line="240" w:lineRule="atLeast"/>
        <w:ind w:right="-54"/>
        <w:jc w:val="both"/>
        <w:rPr>
          <w:lang w:val="en-US"/>
        </w:rPr>
      </w:pPr>
      <w:r w:rsidRPr="009C238A">
        <w:rPr>
          <w:color w:val="000000" w:themeColor="text1"/>
          <w:sz w:val="23"/>
          <w:szCs w:val="23"/>
          <w:lang w:val="en-US"/>
        </w:rPr>
        <w:t xml:space="preserve">The tax rate decreased from 36.7% in the third quarter of 2012 to 35% in 2013, due mainly to a lower amount of taxable dividends the Group’s Parent company received in the periods under comparison. </w:t>
      </w:r>
    </w:p>
    <w:p w:rsidR="009072DB" w:rsidRPr="009C238A" w:rsidRDefault="009072DB" w:rsidP="009072DB">
      <w:pPr>
        <w:spacing w:before="240" w:line="240" w:lineRule="atLeast"/>
        <w:ind w:right="-54"/>
        <w:jc w:val="both"/>
        <w:rPr>
          <w:color w:val="000000" w:themeColor="text1"/>
          <w:sz w:val="23"/>
          <w:szCs w:val="23"/>
          <w:lang w:val="en-US"/>
        </w:rPr>
      </w:pPr>
      <w:r w:rsidRPr="009C238A">
        <w:rPr>
          <w:color w:val="000000" w:themeColor="text1"/>
          <w:sz w:val="23"/>
          <w:szCs w:val="23"/>
          <w:lang w:val="en-US"/>
        </w:rPr>
        <w:t xml:space="preserve">The net profit for the third quarter of 2013 totaled 20,014 thousand euros equal to 19.2% of revenues (21,416 thousand euros equal to 20.5% of revenues in the same period last year). The reduction is due to the negative impact of unfavorable exchange rate on the income statement line items. </w:t>
      </w:r>
    </w:p>
    <w:p w:rsidR="009072DB" w:rsidRPr="009C238A" w:rsidRDefault="009072DB" w:rsidP="009072DB">
      <w:pPr>
        <w:spacing w:before="240" w:after="240" w:line="240" w:lineRule="atLeast"/>
        <w:ind w:right="-54"/>
        <w:jc w:val="both"/>
        <w:rPr>
          <w:lang w:val="en-US"/>
        </w:rPr>
      </w:pPr>
    </w:p>
    <w:p w:rsidR="009072DB" w:rsidRPr="009C238A" w:rsidRDefault="009072DB" w:rsidP="009072DB">
      <w:pPr>
        <w:spacing w:before="240" w:line="240" w:lineRule="atLeast"/>
        <w:ind w:right="-54"/>
        <w:jc w:val="both"/>
        <w:rPr>
          <w:bCs/>
          <w:lang w:val="en-US"/>
        </w:rPr>
      </w:pPr>
    </w:p>
    <w:p w:rsidR="009072DB" w:rsidRPr="009C238A" w:rsidRDefault="009072DB" w:rsidP="009072DB">
      <w:pPr>
        <w:spacing w:before="240" w:line="240" w:lineRule="atLeast"/>
        <w:ind w:right="-54"/>
        <w:jc w:val="both"/>
        <w:rPr>
          <w:lang w:val="en-US"/>
        </w:rPr>
      </w:pPr>
      <w:r w:rsidRPr="009C238A">
        <w:rPr>
          <w:lang w:val="en-US"/>
        </w:rPr>
        <w:br w:type="page"/>
      </w:r>
    </w:p>
    <w:p w:rsidR="009072DB" w:rsidRPr="00174FF8" w:rsidRDefault="009072DB" w:rsidP="00174FF8">
      <w:pPr>
        <w:pStyle w:val="Titolo2"/>
        <w:rPr>
          <w:b/>
        </w:rPr>
      </w:pPr>
      <w:bookmarkStart w:id="20" w:name="_Toc237667811"/>
      <w:bookmarkStart w:id="21" w:name="_Toc245738345"/>
      <w:bookmarkStart w:id="22" w:name="_Toc245837747"/>
      <w:bookmarkStart w:id="23" w:name="_Toc268695293"/>
      <w:bookmarkStart w:id="24" w:name="_Toc268774548"/>
      <w:bookmarkStart w:id="25" w:name="_Toc268782945"/>
      <w:r w:rsidRPr="00174FF8">
        <w:rPr>
          <w:b/>
        </w:rPr>
        <w:lastRenderedPageBreak/>
        <w:t>OPERATING PERFORMANCE IN THE FIRST NINE MONTHS OF 2013</w:t>
      </w:r>
      <w:bookmarkEnd w:id="20"/>
      <w:bookmarkEnd w:id="21"/>
      <w:bookmarkEnd w:id="22"/>
    </w:p>
    <w:p w:rsidR="009072DB" w:rsidRPr="009C238A" w:rsidRDefault="009072DB" w:rsidP="009072DB">
      <w:pPr>
        <w:pStyle w:val="Titolo2"/>
        <w:rPr>
          <w:color w:val="000000" w:themeColor="text1"/>
        </w:rPr>
      </w:pPr>
    </w:p>
    <w:p w:rsidR="009072DB" w:rsidRPr="009C238A" w:rsidRDefault="009072DB" w:rsidP="009072DB">
      <w:pPr>
        <w:jc w:val="both"/>
        <w:rPr>
          <w:color w:val="000000" w:themeColor="text1"/>
          <w:lang w:val="en-US"/>
        </w:rPr>
      </w:pPr>
      <w:r w:rsidRPr="009C238A">
        <w:rPr>
          <w:color w:val="000000" w:themeColor="text1"/>
          <w:lang w:val="en-US"/>
        </w:rPr>
        <w:t>In the first nine months of 2013, the Diasorin Group reported revenues of 323,921 thousand euros (+1.6% at constant exchange rates and substantially in line at current exchange rates) compared with 325,141 thousand euros in the first nine months of 2012. The depreciation of some of the currencies used by the Group had a negative impact of about 6.5 million euros.</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 xml:space="preserve">The positive performance of CLIA products continued, net of Vitamin D, up 16 percentage points at constant exchange rates (around </w:t>
      </w:r>
      <w:r w:rsidR="00A27379">
        <w:rPr>
          <w:color w:val="000000" w:themeColor="text1"/>
          <w:lang w:val="en-US"/>
        </w:rPr>
        <w:t>+</w:t>
      </w:r>
      <w:r w:rsidRPr="009C238A">
        <w:rPr>
          <w:color w:val="000000" w:themeColor="text1"/>
          <w:lang w:val="en-US"/>
        </w:rPr>
        <w:t>15% at current exchange rates), offset</w:t>
      </w:r>
      <w:r w:rsidR="00585DF5">
        <w:rPr>
          <w:color w:val="000000" w:themeColor="text1"/>
          <w:lang w:val="en-US"/>
        </w:rPr>
        <w:t>ting</w:t>
      </w:r>
      <w:r w:rsidRPr="009C238A">
        <w:rPr>
          <w:color w:val="000000" w:themeColor="text1"/>
          <w:lang w:val="en-US"/>
        </w:rPr>
        <w:t xml:space="preserve"> the decline in Vitamin D sales. Noteworthy is the growth in the clinical areas of Tumor markers, Infectious Disease, Prenatal Screening, Parvovirus and </w:t>
      </w:r>
      <w:r w:rsidRPr="009C238A">
        <w:rPr>
          <w:rFonts w:eastAsiaTheme="minorEastAsia"/>
          <w:color w:val="000000" w:themeColor="text1"/>
          <w:lang w:val="en-US"/>
        </w:rPr>
        <w:t>the new HIV and Viral Hepatitis assays line. This result was achieved through the introduction of LIAISON XL automated analyzer, that enabled the Group</w:t>
      </w:r>
      <w:r w:rsidRPr="009C238A">
        <w:rPr>
          <w:rFonts w:eastAsiaTheme="minorEastAsia"/>
          <w:color w:val="000000" w:themeColor="text1"/>
          <w:sz w:val="20"/>
          <w:szCs w:val="20"/>
          <w:lang w:val="en-US"/>
        </w:rPr>
        <w:t xml:space="preserve"> </w:t>
      </w:r>
      <w:r w:rsidRPr="009C238A">
        <w:rPr>
          <w:rFonts w:eastAsiaTheme="minorEastAsia"/>
          <w:color w:val="000000" w:themeColor="text1"/>
          <w:lang w:val="en-US"/>
        </w:rPr>
        <w:t>to provide its customers with a solution to compete with the major players in this market segment.</w:t>
      </w:r>
    </w:p>
    <w:p w:rsidR="009072DB" w:rsidRPr="009C238A" w:rsidRDefault="009072DB" w:rsidP="009072DB">
      <w:pPr>
        <w:spacing w:before="240" w:after="240"/>
        <w:ind w:right="-54"/>
        <w:jc w:val="both"/>
        <w:rPr>
          <w:lang w:val="en-US"/>
        </w:rPr>
      </w:pPr>
      <w:r w:rsidRPr="009C238A">
        <w:rPr>
          <w:color w:val="000000" w:themeColor="text1"/>
          <w:lang w:val="en-US"/>
        </w:rPr>
        <w:t>In the first nine months of 2013, the Molecular business generated revenues of 2,385 thousand euros compared with 1,155 thousand euros in 2012. These sales were mainly obtained from customers acquired together with NorDiag business operations and consolidated since May 2012.</w:t>
      </w:r>
    </w:p>
    <w:p w:rsidR="009072DB" w:rsidRPr="009C238A" w:rsidRDefault="009072DB" w:rsidP="009072DB">
      <w:pPr>
        <w:spacing w:before="240" w:after="240"/>
        <w:ind w:right="-54"/>
        <w:jc w:val="both"/>
        <w:rPr>
          <w:color w:val="000000" w:themeColor="text1"/>
          <w:lang w:val="en-US"/>
        </w:rPr>
      </w:pPr>
      <w:r w:rsidRPr="009C238A">
        <w:rPr>
          <w:lang w:val="en-US"/>
        </w:rPr>
        <w:t>D</w:t>
      </w:r>
      <w:r w:rsidRPr="009C238A">
        <w:rPr>
          <w:color w:val="000000" w:themeColor="text1"/>
          <w:lang w:val="en-US"/>
        </w:rPr>
        <w:t xml:space="preserve">iasorin placed 405 LIAISON XL, bringing the installed base to 1,010 instruments (including 63 in the validation phase at customers facilities). An additional 61 LIAISON analyzers </w:t>
      </w:r>
      <w:r w:rsidR="00123D0B">
        <w:rPr>
          <w:color w:val="000000" w:themeColor="text1"/>
          <w:lang w:val="en-US"/>
        </w:rPr>
        <w:t>have been placed, bringing to 46</w:t>
      </w:r>
      <w:r w:rsidRPr="009C238A">
        <w:rPr>
          <w:color w:val="000000" w:themeColor="text1"/>
          <w:lang w:val="en-US"/>
        </w:rPr>
        <w:t xml:space="preserve">6 the total number of </w:t>
      </w:r>
      <w:r w:rsidR="00357AAE">
        <w:rPr>
          <w:color w:val="000000" w:themeColor="text1"/>
          <w:lang w:val="en-US"/>
        </w:rPr>
        <w:t xml:space="preserve">LIAISON and LIAISON XL </w:t>
      </w:r>
      <w:r w:rsidRPr="009C238A">
        <w:rPr>
          <w:color w:val="000000" w:themeColor="text1"/>
          <w:lang w:val="en-US"/>
        </w:rPr>
        <w:t>analyzers installed in the first nine months of 2013.</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The gross profit totaled 222,574 t</w:t>
      </w:r>
      <w:r w:rsidR="009731CB">
        <w:rPr>
          <w:color w:val="000000" w:themeColor="text1"/>
          <w:lang w:val="en-US"/>
        </w:rPr>
        <w:t>housand euros, compared with 225</w:t>
      </w:r>
      <w:r w:rsidRPr="009C238A">
        <w:rPr>
          <w:color w:val="000000" w:themeColor="text1"/>
          <w:lang w:val="en-US"/>
        </w:rPr>
        <w:t>,894 thousand euros in the same period in 2012, for a decrease of 1.5% or 3,320 thousand euros. At September 30, 2013, the ratio of gross profit to revenues was equal to 68.7%, for a loss of 0.8% over the ratio at September 30, 2012 as a result of the different mix of sales in the periods under comparison.</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 xml:space="preserve">At September 30, 2013, operating expenses totaled 116,952 thousand euros, for a gain of 2.9 percentage points or 3,285 thousand euros compared with the same period in 2012, mainly due to the expenses for the start-up of the Molecular business and expenses related to the technical support for the growing installed base number. The foreign exchange market impacted the operating expenses for </w:t>
      </w:r>
      <w:r w:rsidR="00526038">
        <w:rPr>
          <w:color w:val="000000" w:themeColor="text1"/>
          <w:lang w:val="en-US"/>
        </w:rPr>
        <w:t xml:space="preserve">about </w:t>
      </w:r>
      <w:r w:rsidRPr="009C238A">
        <w:rPr>
          <w:color w:val="000000" w:themeColor="text1"/>
          <w:lang w:val="en-US"/>
        </w:rPr>
        <w:t>2 million euros.</w:t>
      </w:r>
    </w:p>
    <w:p w:rsidR="009072DB" w:rsidRPr="009C238A" w:rsidRDefault="00CE62DC" w:rsidP="009072DB">
      <w:pPr>
        <w:spacing w:before="240" w:after="240"/>
        <w:ind w:right="-54"/>
        <w:jc w:val="both"/>
        <w:rPr>
          <w:color w:val="000000" w:themeColor="text1"/>
          <w:lang w:val="en-US"/>
        </w:rPr>
      </w:pPr>
      <w:r>
        <w:rPr>
          <w:color w:val="000000" w:themeColor="text1"/>
          <w:lang w:val="en-US"/>
        </w:rPr>
        <w:t>EBITDA</w:t>
      </w:r>
      <w:r w:rsidR="009072DB" w:rsidRPr="009C238A">
        <w:rPr>
          <w:color w:val="000000" w:themeColor="text1"/>
          <w:lang w:val="en-US"/>
        </w:rPr>
        <w:t xml:space="preserve"> amounted to 122,501 thousand euros, compared with 130,646 thousand euros</w:t>
      </w:r>
      <w:r w:rsidR="009731CB">
        <w:rPr>
          <w:color w:val="000000" w:themeColor="text1"/>
          <w:lang w:val="en-US"/>
        </w:rPr>
        <w:t xml:space="preserve"> in 2012</w:t>
      </w:r>
      <w:r w:rsidR="009072DB" w:rsidRPr="009C238A">
        <w:rPr>
          <w:color w:val="000000" w:themeColor="text1"/>
          <w:lang w:val="en-US"/>
        </w:rPr>
        <w:t xml:space="preserve">. The ratio of </w:t>
      </w:r>
      <w:r>
        <w:rPr>
          <w:color w:val="000000" w:themeColor="text1"/>
          <w:lang w:val="en-US"/>
        </w:rPr>
        <w:t>EBITDA</w:t>
      </w:r>
      <w:r w:rsidR="009072DB" w:rsidRPr="009C238A">
        <w:rPr>
          <w:color w:val="000000" w:themeColor="text1"/>
          <w:lang w:val="en-US"/>
        </w:rPr>
        <w:t xml:space="preserve"> to revenues decreased from 40.2 percentage point</w:t>
      </w:r>
      <w:r w:rsidR="004037AD">
        <w:rPr>
          <w:color w:val="000000" w:themeColor="text1"/>
          <w:lang w:val="en-US"/>
        </w:rPr>
        <w:t>s</w:t>
      </w:r>
      <w:r w:rsidR="009072DB" w:rsidRPr="009C238A">
        <w:rPr>
          <w:color w:val="000000" w:themeColor="text1"/>
          <w:lang w:val="en-US"/>
        </w:rPr>
        <w:t xml:space="preserve"> at September 30, 2012 to 37.8 percentage points this year. The decrease, equal to 8,145 thousand euros, is the result of the exchange rates effect for over 3.3 million euros. Excluding the Molecular business and the exchange rates impact, </w:t>
      </w:r>
      <w:r>
        <w:rPr>
          <w:color w:val="000000" w:themeColor="text1"/>
          <w:lang w:val="en-US"/>
        </w:rPr>
        <w:t>EBITDA</w:t>
      </w:r>
      <w:r w:rsidR="009072DB" w:rsidRPr="009C238A">
        <w:rPr>
          <w:color w:val="000000" w:themeColor="text1"/>
          <w:lang w:val="en-US"/>
        </w:rPr>
        <w:t xml:space="preserve"> would be equal to 40 percentage points of revenues (41.9% at September 30, 2012).</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In the first nine months of 2013, EBIT totaled 101,298 thousand euros, compared with 109,150 in the same period in 2012, equal to 31.3% of revenues, compared with 33.6% of revenues in 2012.</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Net financial expense</w:t>
      </w:r>
      <w:r w:rsidR="00323EC7">
        <w:rPr>
          <w:color w:val="000000" w:themeColor="text1"/>
          <w:lang w:val="en-US"/>
        </w:rPr>
        <w:t>s</w:t>
      </w:r>
      <w:r w:rsidRPr="009C238A">
        <w:rPr>
          <w:color w:val="000000" w:themeColor="text1"/>
          <w:lang w:val="en-US"/>
        </w:rPr>
        <w:t xml:space="preserve"> totaled 3,806 thousand euros in the first nine months of 2013, compared with net financial expense</w:t>
      </w:r>
      <w:r w:rsidR="00323EC7">
        <w:rPr>
          <w:color w:val="000000" w:themeColor="text1"/>
          <w:lang w:val="en-US"/>
        </w:rPr>
        <w:t>s</w:t>
      </w:r>
      <w:r w:rsidRPr="009C238A">
        <w:rPr>
          <w:color w:val="000000" w:themeColor="text1"/>
          <w:lang w:val="en-US"/>
        </w:rPr>
        <w:t xml:space="preserve"> of 2,223 thousand euros in the same period last year. The difference between these two periods is </w:t>
      </w:r>
      <w:r w:rsidR="00323EC7">
        <w:rPr>
          <w:color w:val="000000" w:themeColor="text1"/>
          <w:lang w:val="en-US"/>
        </w:rPr>
        <w:t>mainly</w:t>
      </w:r>
      <w:r w:rsidRPr="009C238A">
        <w:rPr>
          <w:color w:val="000000" w:themeColor="text1"/>
          <w:lang w:val="en-US"/>
        </w:rPr>
        <w:t xml:space="preserve"> the result of the exchange rates fluctuation: the first nine months of 2013</w:t>
      </w:r>
      <w:r w:rsidR="0024706E">
        <w:rPr>
          <w:color w:val="000000" w:themeColor="text1"/>
          <w:lang w:val="en-US"/>
        </w:rPr>
        <w:t xml:space="preserve"> </w:t>
      </w:r>
      <w:r w:rsidRPr="009C238A">
        <w:rPr>
          <w:color w:val="000000" w:themeColor="text1"/>
          <w:lang w:val="en-US"/>
        </w:rPr>
        <w:t>reported an expense of 1,321 thousand euros related to the translation effect, compared with a gain of 122 thousand euros in the first nine months of 2012.</w:t>
      </w:r>
    </w:p>
    <w:p w:rsidR="009072DB" w:rsidRPr="009C238A" w:rsidRDefault="009072DB" w:rsidP="009072DB">
      <w:pPr>
        <w:spacing w:before="240" w:after="240" w:line="240" w:lineRule="atLeast"/>
        <w:ind w:right="-54"/>
        <w:jc w:val="both"/>
        <w:rPr>
          <w:color w:val="000000" w:themeColor="text1"/>
          <w:lang w:val="en-US"/>
        </w:rPr>
      </w:pPr>
      <w:r w:rsidRPr="009C238A">
        <w:rPr>
          <w:color w:val="000000" w:themeColor="text1"/>
          <w:lang w:val="en-US"/>
        </w:rPr>
        <w:t xml:space="preserve">In the first nine months of 2013, the net profit totaled 61,055 thousand euros, equal to 18.8% of revenues, compared with 66,955 thousand euros, equal to 20.6% of revenues in the first nine months </w:t>
      </w:r>
      <w:r w:rsidRPr="009C238A">
        <w:rPr>
          <w:color w:val="000000" w:themeColor="text1"/>
          <w:lang w:val="en-US"/>
        </w:rPr>
        <w:lastRenderedPageBreak/>
        <w:t xml:space="preserve">of 2012. In the first nine months of 2013, the net profit was significantly impacted by the fluctuation of the exchange rates market, as mentioned above. </w:t>
      </w:r>
    </w:p>
    <w:p w:rsidR="009072DB" w:rsidRPr="009C238A" w:rsidRDefault="009072DB" w:rsidP="009072DB">
      <w:pPr>
        <w:spacing w:before="240" w:after="240" w:line="240" w:lineRule="atLeast"/>
        <w:ind w:right="-54"/>
        <w:jc w:val="both"/>
        <w:rPr>
          <w:color w:val="000000" w:themeColor="text1"/>
          <w:lang w:val="en-US"/>
        </w:rPr>
      </w:pPr>
      <w:r w:rsidRPr="009C238A">
        <w:rPr>
          <w:color w:val="000000" w:themeColor="text1"/>
          <w:lang w:val="en-US"/>
        </w:rPr>
        <w:t>The table that follows shows the consolidated income statement for the quarters ended September  30, 2013 and September 30, 2012:</w:t>
      </w:r>
    </w:p>
    <w:p w:rsidR="009072DB" w:rsidRPr="009C238A" w:rsidRDefault="009072DB" w:rsidP="009072DB">
      <w:pPr>
        <w:spacing w:before="240" w:after="240" w:line="240" w:lineRule="atLeast"/>
        <w:ind w:right="-54"/>
        <w:jc w:val="both"/>
        <w:rPr>
          <w:lang w:val="en-US"/>
        </w:rPr>
      </w:pPr>
    </w:p>
    <w:p w:rsidR="009072DB" w:rsidRPr="009C238A" w:rsidRDefault="009072DB" w:rsidP="009072DB">
      <w:pPr>
        <w:spacing w:before="240" w:after="240" w:line="240" w:lineRule="atLeast"/>
        <w:ind w:right="-54"/>
        <w:jc w:val="both"/>
        <w:rPr>
          <w:lang w:val="en-US"/>
        </w:rPr>
      </w:pPr>
    </w:p>
    <w:p w:rsidR="009072DB" w:rsidRPr="009C238A" w:rsidRDefault="009072DB" w:rsidP="009072DB">
      <w:pPr>
        <w:rPr>
          <w:color w:val="FF0000"/>
          <w:lang w:val="en-US"/>
        </w:rPr>
      </w:pPr>
      <w:r w:rsidRPr="009C238A">
        <w:rPr>
          <w:color w:val="FF0000"/>
          <w:lang w:val="en-US"/>
        </w:rPr>
        <w:br w:type="page"/>
      </w:r>
    </w:p>
    <w:p w:rsidR="009072DB" w:rsidRPr="009C238A" w:rsidRDefault="009072DB" w:rsidP="009072DB">
      <w:pPr>
        <w:jc w:val="center"/>
        <w:rPr>
          <w:b/>
          <w:bCs/>
          <w:color w:val="000000" w:themeColor="text1"/>
          <w:lang w:val="en-US"/>
        </w:rPr>
      </w:pPr>
      <w:r w:rsidRPr="009C238A">
        <w:rPr>
          <w:b/>
          <w:bCs/>
          <w:color w:val="000000" w:themeColor="text1"/>
          <w:lang w:val="en-US"/>
        </w:rPr>
        <w:lastRenderedPageBreak/>
        <w:t>CONSOLIDATED INCOME STATEMENT</w:t>
      </w:r>
    </w:p>
    <w:p w:rsidR="009072DB" w:rsidRPr="009C238A" w:rsidRDefault="009072DB" w:rsidP="009072DB">
      <w:pPr>
        <w:jc w:val="center"/>
        <w:rPr>
          <w:b/>
          <w:bCs/>
          <w:color w:val="FF0000"/>
          <w:lang w:val="en-US"/>
        </w:rPr>
      </w:pPr>
    </w:p>
    <w:tbl>
      <w:tblPr>
        <w:tblW w:w="5000" w:type="pct"/>
        <w:tblCellMar>
          <w:left w:w="70" w:type="dxa"/>
          <w:right w:w="70" w:type="dxa"/>
        </w:tblCellMar>
        <w:tblLook w:val="00A0"/>
      </w:tblPr>
      <w:tblGrid>
        <w:gridCol w:w="1248"/>
        <w:gridCol w:w="1957"/>
        <w:gridCol w:w="1689"/>
        <w:gridCol w:w="1417"/>
        <w:gridCol w:w="1871"/>
        <w:gridCol w:w="1597"/>
      </w:tblGrid>
      <w:tr w:rsidR="009072DB" w:rsidRPr="009C238A" w:rsidTr="00D70CC4">
        <w:trPr>
          <w:trHeight w:val="795"/>
        </w:trPr>
        <w:tc>
          <w:tcPr>
            <w:tcW w:w="1637" w:type="pct"/>
            <w:gridSpan w:val="2"/>
            <w:tcBorders>
              <w:top w:val="single" w:sz="4" w:space="0" w:color="auto"/>
              <w:left w:val="nil"/>
              <w:bottom w:val="single" w:sz="4" w:space="0" w:color="auto"/>
              <w:right w:val="nil"/>
            </w:tcBorders>
            <w:noWrap/>
            <w:vAlign w:val="center"/>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864" w:type="pct"/>
            <w:tcBorders>
              <w:top w:val="single" w:sz="4" w:space="0" w:color="auto"/>
              <w:left w:val="nil"/>
              <w:bottom w:val="single" w:sz="4" w:space="0" w:color="auto"/>
              <w:right w:val="nil"/>
            </w:tcBorders>
            <w:vAlign w:val="center"/>
          </w:tcPr>
          <w:p w:rsidR="009072DB" w:rsidRPr="009C238A" w:rsidRDefault="009072DB" w:rsidP="00D70CC4">
            <w:pPr>
              <w:jc w:val="right"/>
              <w:rPr>
                <w:b/>
                <w:bCs/>
                <w:sz w:val="20"/>
                <w:szCs w:val="20"/>
                <w:lang w:val="en-US"/>
              </w:rPr>
            </w:pPr>
            <w:r w:rsidRPr="009C238A">
              <w:rPr>
                <w:b/>
                <w:bCs/>
                <w:sz w:val="20"/>
                <w:szCs w:val="20"/>
                <w:lang w:val="en-US"/>
              </w:rPr>
              <w:t>First nine months 2013</w:t>
            </w:r>
          </w:p>
        </w:tc>
        <w:tc>
          <w:tcPr>
            <w:tcW w:w="725"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color w:val="000000" w:themeColor="text1"/>
                <w:sz w:val="20"/>
                <w:szCs w:val="20"/>
                <w:lang w:val="en-US"/>
              </w:rPr>
              <w:t>as a% of revenues</w:t>
            </w:r>
          </w:p>
        </w:tc>
        <w:tc>
          <w:tcPr>
            <w:tcW w:w="957" w:type="pct"/>
            <w:tcBorders>
              <w:top w:val="single" w:sz="4" w:space="0" w:color="auto"/>
              <w:left w:val="nil"/>
              <w:bottom w:val="single" w:sz="4" w:space="0" w:color="auto"/>
              <w:right w:val="nil"/>
            </w:tcBorders>
            <w:vAlign w:val="center"/>
          </w:tcPr>
          <w:p w:rsidR="00D70CC4" w:rsidRDefault="009072DB" w:rsidP="00D70CC4">
            <w:pPr>
              <w:jc w:val="right"/>
              <w:rPr>
                <w:b/>
                <w:bCs/>
                <w:sz w:val="20"/>
                <w:szCs w:val="20"/>
                <w:lang w:val="en-US"/>
              </w:rPr>
            </w:pPr>
            <w:r w:rsidRPr="009C238A">
              <w:rPr>
                <w:b/>
                <w:bCs/>
                <w:sz w:val="20"/>
                <w:szCs w:val="20"/>
                <w:lang w:val="en-US"/>
              </w:rPr>
              <w:t>First nine</w:t>
            </w:r>
            <w:r w:rsidR="00D70CC4">
              <w:rPr>
                <w:b/>
                <w:bCs/>
                <w:sz w:val="20"/>
                <w:szCs w:val="20"/>
                <w:lang w:val="en-US"/>
              </w:rPr>
              <w:t xml:space="preserve"> </w:t>
            </w:r>
            <w:r w:rsidRPr="009C238A">
              <w:rPr>
                <w:b/>
                <w:bCs/>
                <w:sz w:val="20"/>
                <w:szCs w:val="20"/>
                <w:lang w:val="en-US"/>
              </w:rPr>
              <w:t>months</w:t>
            </w:r>
          </w:p>
          <w:p w:rsidR="009072DB" w:rsidRPr="009C238A" w:rsidRDefault="009072DB" w:rsidP="00D70CC4">
            <w:pPr>
              <w:jc w:val="right"/>
              <w:rPr>
                <w:b/>
                <w:bCs/>
                <w:sz w:val="20"/>
                <w:szCs w:val="20"/>
                <w:lang w:val="en-US"/>
              </w:rPr>
            </w:pPr>
            <w:r w:rsidRPr="009C238A">
              <w:rPr>
                <w:b/>
                <w:bCs/>
                <w:sz w:val="20"/>
                <w:szCs w:val="20"/>
                <w:lang w:val="en-US"/>
              </w:rPr>
              <w:t>2012</w:t>
            </w:r>
          </w:p>
        </w:tc>
        <w:tc>
          <w:tcPr>
            <w:tcW w:w="818"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color w:val="000000" w:themeColor="text1"/>
                <w:sz w:val="20"/>
                <w:szCs w:val="20"/>
                <w:lang w:val="en-US"/>
              </w:rPr>
              <w:t>as a% of revenues</w:t>
            </w:r>
          </w:p>
        </w:tc>
      </w:tr>
      <w:tr w:rsidR="009072DB" w:rsidRPr="009C238A" w:rsidTr="00D70CC4">
        <w:trPr>
          <w:trHeight w:val="529"/>
        </w:trPr>
        <w:tc>
          <w:tcPr>
            <w:tcW w:w="1637"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Sales and service revenues</w:t>
            </w:r>
          </w:p>
        </w:tc>
        <w:tc>
          <w:tcPr>
            <w:tcW w:w="86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323,921</w:t>
            </w:r>
          </w:p>
        </w:tc>
        <w:tc>
          <w:tcPr>
            <w:tcW w:w="72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100.0%</w:t>
            </w:r>
          </w:p>
        </w:tc>
        <w:tc>
          <w:tcPr>
            <w:tcW w:w="957"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325,141</w:t>
            </w:r>
          </w:p>
        </w:tc>
        <w:tc>
          <w:tcPr>
            <w:tcW w:w="818"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100.0%</w:t>
            </w:r>
          </w:p>
        </w:tc>
      </w:tr>
      <w:tr w:rsidR="009072DB" w:rsidRPr="009C238A" w:rsidTr="00D70CC4">
        <w:trPr>
          <w:trHeight w:val="503"/>
        </w:trPr>
        <w:tc>
          <w:tcPr>
            <w:tcW w:w="1637"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Cost of sales</w:t>
            </w:r>
          </w:p>
        </w:tc>
        <w:tc>
          <w:tcPr>
            <w:tcW w:w="86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(101,347)</w:t>
            </w:r>
          </w:p>
        </w:tc>
        <w:tc>
          <w:tcPr>
            <w:tcW w:w="72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31.3%</w:t>
            </w:r>
          </w:p>
        </w:tc>
        <w:tc>
          <w:tcPr>
            <w:tcW w:w="957"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(99,247)</w:t>
            </w:r>
          </w:p>
        </w:tc>
        <w:tc>
          <w:tcPr>
            <w:tcW w:w="818"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30.5%</w:t>
            </w:r>
          </w:p>
        </w:tc>
      </w:tr>
      <w:tr w:rsidR="009072DB" w:rsidRPr="009C238A" w:rsidTr="00D70CC4">
        <w:trPr>
          <w:trHeight w:val="428"/>
        </w:trPr>
        <w:tc>
          <w:tcPr>
            <w:tcW w:w="1637" w:type="pct"/>
            <w:gridSpan w:val="2"/>
            <w:tcBorders>
              <w:top w:val="single" w:sz="4" w:space="0" w:color="auto"/>
              <w:left w:val="nil"/>
              <w:bottom w:val="double" w:sz="6"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Gross profit</w:t>
            </w:r>
          </w:p>
        </w:tc>
        <w:tc>
          <w:tcPr>
            <w:tcW w:w="864"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222,574</w:t>
            </w:r>
          </w:p>
        </w:tc>
        <w:tc>
          <w:tcPr>
            <w:tcW w:w="725"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68.7%</w:t>
            </w:r>
          </w:p>
        </w:tc>
        <w:tc>
          <w:tcPr>
            <w:tcW w:w="957"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225,894</w:t>
            </w:r>
          </w:p>
        </w:tc>
        <w:tc>
          <w:tcPr>
            <w:tcW w:w="818"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69.5%</w:t>
            </w:r>
          </w:p>
        </w:tc>
      </w:tr>
      <w:tr w:rsidR="009072DB" w:rsidRPr="009C238A" w:rsidTr="00D70CC4">
        <w:trPr>
          <w:trHeight w:val="503"/>
        </w:trPr>
        <w:tc>
          <w:tcPr>
            <w:tcW w:w="1637"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Sales and marketing expenses</w:t>
            </w:r>
          </w:p>
        </w:tc>
        <w:tc>
          <w:tcPr>
            <w:tcW w:w="86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(63,334)</w:t>
            </w:r>
          </w:p>
        </w:tc>
        <w:tc>
          <w:tcPr>
            <w:tcW w:w="72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19.6%</w:t>
            </w:r>
          </w:p>
        </w:tc>
        <w:tc>
          <w:tcPr>
            <w:tcW w:w="957"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(60,813)</w:t>
            </w:r>
          </w:p>
        </w:tc>
        <w:tc>
          <w:tcPr>
            <w:tcW w:w="818"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18.7%</w:t>
            </w:r>
          </w:p>
        </w:tc>
      </w:tr>
      <w:tr w:rsidR="009072DB" w:rsidRPr="009C238A" w:rsidTr="00D70CC4">
        <w:trPr>
          <w:trHeight w:val="503"/>
        </w:trPr>
        <w:tc>
          <w:tcPr>
            <w:tcW w:w="1637"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Research and development costs</w:t>
            </w:r>
          </w:p>
        </w:tc>
        <w:tc>
          <w:tcPr>
            <w:tcW w:w="86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(17,711)</w:t>
            </w:r>
          </w:p>
        </w:tc>
        <w:tc>
          <w:tcPr>
            <w:tcW w:w="72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5.5%</w:t>
            </w:r>
          </w:p>
        </w:tc>
        <w:tc>
          <w:tcPr>
            <w:tcW w:w="957"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(17,342)</w:t>
            </w:r>
          </w:p>
        </w:tc>
        <w:tc>
          <w:tcPr>
            <w:tcW w:w="818"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5.3%</w:t>
            </w:r>
          </w:p>
        </w:tc>
      </w:tr>
      <w:tr w:rsidR="009072DB" w:rsidRPr="009C238A" w:rsidTr="00D70CC4">
        <w:trPr>
          <w:trHeight w:val="435"/>
        </w:trPr>
        <w:tc>
          <w:tcPr>
            <w:tcW w:w="1637"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General and administrative expenses</w:t>
            </w:r>
          </w:p>
        </w:tc>
        <w:tc>
          <w:tcPr>
            <w:tcW w:w="86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(35,907)</w:t>
            </w:r>
          </w:p>
        </w:tc>
        <w:tc>
          <w:tcPr>
            <w:tcW w:w="72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11.1%</w:t>
            </w:r>
          </w:p>
        </w:tc>
        <w:tc>
          <w:tcPr>
            <w:tcW w:w="957"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(35,512)</w:t>
            </w:r>
          </w:p>
        </w:tc>
        <w:tc>
          <w:tcPr>
            <w:tcW w:w="818"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10.9%</w:t>
            </w:r>
          </w:p>
        </w:tc>
      </w:tr>
      <w:tr w:rsidR="009072DB" w:rsidRPr="009C238A" w:rsidTr="00D70CC4">
        <w:trPr>
          <w:trHeight w:val="435"/>
        </w:trPr>
        <w:tc>
          <w:tcPr>
            <w:tcW w:w="1637" w:type="pct"/>
            <w:gridSpan w:val="2"/>
            <w:tcBorders>
              <w:top w:val="single" w:sz="4" w:space="0" w:color="auto"/>
              <w:left w:val="nil"/>
              <w:bottom w:val="single" w:sz="4" w:space="0" w:color="auto"/>
              <w:right w:val="nil"/>
            </w:tcBorders>
            <w:noWrap/>
            <w:vAlign w:val="center"/>
          </w:tcPr>
          <w:p w:rsidR="009072DB" w:rsidRPr="009C238A" w:rsidRDefault="009072DB" w:rsidP="009072DB">
            <w:pPr>
              <w:rPr>
                <w:b/>
                <w:bCs/>
                <w:sz w:val="20"/>
                <w:szCs w:val="20"/>
                <w:lang w:val="en-US"/>
              </w:rPr>
            </w:pPr>
            <w:r w:rsidRPr="009C238A">
              <w:rPr>
                <w:b/>
                <w:color w:val="000000" w:themeColor="text1"/>
                <w:sz w:val="20"/>
                <w:szCs w:val="20"/>
                <w:lang w:val="en-US"/>
              </w:rPr>
              <w:t>Total operating expenses</w:t>
            </w:r>
          </w:p>
        </w:tc>
        <w:tc>
          <w:tcPr>
            <w:tcW w:w="864"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(116,952)</w:t>
            </w:r>
          </w:p>
        </w:tc>
        <w:tc>
          <w:tcPr>
            <w:tcW w:w="725"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36.1%</w:t>
            </w:r>
          </w:p>
        </w:tc>
        <w:tc>
          <w:tcPr>
            <w:tcW w:w="957"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(113,667)</w:t>
            </w:r>
          </w:p>
        </w:tc>
        <w:tc>
          <w:tcPr>
            <w:tcW w:w="818"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35.0%</w:t>
            </w:r>
          </w:p>
        </w:tc>
      </w:tr>
      <w:tr w:rsidR="009072DB" w:rsidRPr="009C238A" w:rsidTr="00D70CC4">
        <w:trPr>
          <w:trHeight w:val="503"/>
        </w:trPr>
        <w:tc>
          <w:tcPr>
            <w:tcW w:w="1637"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Other operating income (expense)</w:t>
            </w:r>
          </w:p>
        </w:tc>
        <w:tc>
          <w:tcPr>
            <w:tcW w:w="86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(4,324)</w:t>
            </w:r>
          </w:p>
        </w:tc>
        <w:tc>
          <w:tcPr>
            <w:tcW w:w="72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1.3%</w:t>
            </w:r>
          </w:p>
        </w:tc>
        <w:tc>
          <w:tcPr>
            <w:tcW w:w="957"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(3,077)</w:t>
            </w:r>
          </w:p>
        </w:tc>
        <w:tc>
          <w:tcPr>
            <w:tcW w:w="818"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0.9%</w:t>
            </w:r>
          </w:p>
        </w:tc>
      </w:tr>
      <w:tr w:rsidR="009072DB" w:rsidRPr="009C238A" w:rsidTr="00D70CC4">
        <w:trPr>
          <w:trHeight w:val="503"/>
        </w:trPr>
        <w:tc>
          <w:tcPr>
            <w:tcW w:w="639" w:type="pct"/>
            <w:tcBorders>
              <w:top w:val="nil"/>
              <w:left w:val="nil"/>
              <w:bottom w:val="nil"/>
              <w:right w:val="nil"/>
            </w:tcBorders>
            <w:noWrap/>
            <w:vAlign w:val="center"/>
          </w:tcPr>
          <w:p w:rsidR="009072DB" w:rsidRPr="009C238A" w:rsidRDefault="009072DB" w:rsidP="009072DB">
            <w:pPr>
              <w:jc w:val="center"/>
              <w:rPr>
                <w:sz w:val="20"/>
                <w:szCs w:val="20"/>
                <w:lang w:val="en-US"/>
              </w:rPr>
            </w:pPr>
          </w:p>
        </w:tc>
        <w:tc>
          <w:tcPr>
            <w:tcW w:w="997" w:type="pct"/>
            <w:tcBorders>
              <w:top w:val="nil"/>
              <w:left w:val="nil"/>
              <w:bottom w:val="nil"/>
              <w:right w:val="nil"/>
            </w:tcBorders>
            <w:noWrap/>
            <w:vAlign w:val="center"/>
          </w:tcPr>
          <w:p w:rsidR="009072DB" w:rsidRPr="009C238A" w:rsidRDefault="009072DB" w:rsidP="009072DB">
            <w:pPr>
              <w:rPr>
                <w:i/>
                <w:iCs/>
                <w:sz w:val="20"/>
                <w:szCs w:val="20"/>
                <w:lang w:val="en-US"/>
              </w:rPr>
            </w:pPr>
            <w:r w:rsidRPr="009C238A">
              <w:rPr>
                <w:i/>
                <w:iCs/>
                <w:color w:val="000000" w:themeColor="text1"/>
                <w:sz w:val="20"/>
                <w:szCs w:val="20"/>
                <w:lang w:val="en-US"/>
              </w:rPr>
              <w:t>Non-recurring amount</w:t>
            </w:r>
          </w:p>
        </w:tc>
        <w:tc>
          <w:tcPr>
            <w:tcW w:w="864" w:type="pct"/>
            <w:tcBorders>
              <w:top w:val="nil"/>
              <w:left w:val="nil"/>
              <w:bottom w:val="nil"/>
              <w:right w:val="nil"/>
            </w:tcBorders>
            <w:noWrap/>
            <w:vAlign w:val="center"/>
          </w:tcPr>
          <w:p w:rsidR="009072DB" w:rsidRPr="009C238A" w:rsidRDefault="009072DB" w:rsidP="009072DB">
            <w:pPr>
              <w:jc w:val="right"/>
              <w:rPr>
                <w:i/>
                <w:iCs/>
                <w:sz w:val="20"/>
                <w:szCs w:val="20"/>
                <w:lang w:val="en-US"/>
              </w:rPr>
            </w:pPr>
            <w:r w:rsidRPr="009C238A">
              <w:rPr>
                <w:i/>
                <w:iCs/>
                <w:sz w:val="20"/>
                <w:szCs w:val="20"/>
                <w:lang w:val="en-US"/>
              </w:rPr>
              <w:t>-</w:t>
            </w:r>
          </w:p>
        </w:tc>
        <w:tc>
          <w:tcPr>
            <w:tcW w:w="725" w:type="pct"/>
            <w:tcBorders>
              <w:top w:val="nil"/>
              <w:left w:val="nil"/>
              <w:bottom w:val="nil"/>
              <w:right w:val="nil"/>
            </w:tcBorders>
            <w:noWrap/>
            <w:vAlign w:val="center"/>
          </w:tcPr>
          <w:p w:rsidR="009072DB" w:rsidRPr="009C238A" w:rsidRDefault="009072DB" w:rsidP="009072DB">
            <w:pPr>
              <w:jc w:val="right"/>
              <w:rPr>
                <w:i/>
                <w:iCs/>
                <w:sz w:val="20"/>
                <w:szCs w:val="20"/>
                <w:lang w:val="en-US"/>
              </w:rPr>
            </w:pPr>
            <w:r w:rsidRPr="009C238A">
              <w:rPr>
                <w:i/>
                <w:iCs/>
                <w:sz w:val="20"/>
                <w:szCs w:val="20"/>
                <w:lang w:val="en-US"/>
              </w:rPr>
              <w:t>-</w:t>
            </w:r>
          </w:p>
        </w:tc>
        <w:tc>
          <w:tcPr>
            <w:tcW w:w="957" w:type="pct"/>
            <w:tcBorders>
              <w:top w:val="nil"/>
              <w:left w:val="nil"/>
              <w:bottom w:val="nil"/>
              <w:right w:val="nil"/>
            </w:tcBorders>
            <w:noWrap/>
            <w:vAlign w:val="center"/>
          </w:tcPr>
          <w:p w:rsidR="009072DB" w:rsidRPr="009C238A" w:rsidRDefault="009072DB" w:rsidP="009072DB">
            <w:pPr>
              <w:jc w:val="right"/>
              <w:rPr>
                <w:i/>
                <w:iCs/>
                <w:sz w:val="20"/>
                <w:szCs w:val="20"/>
                <w:lang w:val="en-US"/>
              </w:rPr>
            </w:pPr>
            <w:r w:rsidRPr="009C238A">
              <w:rPr>
                <w:i/>
                <w:iCs/>
                <w:sz w:val="20"/>
                <w:szCs w:val="20"/>
                <w:lang w:val="en-US"/>
              </w:rPr>
              <w:t>(1,151)</w:t>
            </w:r>
          </w:p>
        </w:tc>
        <w:tc>
          <w:tcPr>
            <w:tcW w:w="818" w:type="pct"/>
            <w:tcBorders>
              <w:top w:val="nil"/>
              <w:left w:val="nil"/>
              <w:bottom w:val="nil"/>
              <w:right w:val="nil"/>
            </w:tcBorders>
            <w:noWrap/>
            <w:vAlign w:val="center"/>
          </w:tcPr>
          <w:p w:rsidR="009072DB" w:rsidRPr="009C238A" w:rsidRDefault="009072DB" w:rsidP="009072DB">
            <w:pPr>
              <w:jc w:val="right"/>
              <w:rPr>
                <w:i/>
                <w:iCs/>
                <w:sz w:val="20"/>
                <w:szCs w:val="20"/>
                <w:lang w:val="en-US"/>
              </w:rPr>
            </w:pPr>
            <w:r w:rsidRPr="009C238A">
              <w:rPr>
                <w:i/>
                <w:iCs/>
                <w:sz w:val="20"/>
                <w:szCs w:val="20"/>
                <w:lang w:val="en-US"/>
              </w:rPr>
              <w:t>0.4%</w:t>
            </w:r>
          </w:p>
        </w:tc>
      </w:tr>
      <w:tr w:rsidR="009072DB" w:rsidRPr="009C238A" w:rsidTr="00D70CC4">
        <w:trPr>
          <w:trHeight w:val="428"/>
        </w:trPr>
        <w:tc>
          <w:tcPr>
            <w:tcW w:w="1637" w:type="pct"/>
            <w:gridSpan w:val="2"/>
            <w:tcBorders>
              <w:top w:val="single" w:sz="4" w:space="0" w:color="auto"/>
              <w:left w:val="nil"/>
              <w:bottom w:val="double" w:sz="6"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EBIT</w:t>
            </w:r>
          </w:p>
        </w:tc>
        <w:tc>
          <w:tcPr>
            <w:tcW w:w="864"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101,298</w:t>
            </w:r>
          </w:p>
        </w:tc>
        <w:tc>
          <w:tcPr>
            <w:tcW w:w="725"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31.3%</w:t>
            </w:r>
          </w:p>
        </w:tc>
        <w:tc>
          <w:tcPr>
            <w:tcW w:w="957"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109,150</w:t>
            </w:r>
          </w:p>
        </w:tc>
        <w:tc>
          <w:tcPr>
            <w:tcW w:w="818"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33.6%</w:t>
            </w:r>
          </w:p>
        </w:tc>
      </w:tr>
      <w:tr w:rsidR="009072DB" w:rsidRPr="009C238A" w:rsidTr="00D70CC4">
        <w:trPr>
          <w:trHeight w:val="473"/>
        </w:trPr>
        <w:tc>
          <w:tcPr>
            <w:tcW w:w="1637"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Net financial income (expense)</w:t>
            </w:r>
          </w:p>
        </w:tc>
        <w:tc>
          <w:tcPr>
            <w:tcW w:w="86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(3,806)</w:t>
            </w:r>
          </w:p>
        </w:tc>
        <w:tc>
          <w:tcPr>
            <w:tcW w:w="72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1.2%</w:t>
            </w:r>
          </w:p>
        </w:tc>
        <w:tc>
          <w:tcPr>
            <w:tcW w:w="957"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(2,223)</w:t>
            </w:r>
          </w:p>
        </w:tc>
        <w:tc>
          <w:tcPr>
            <w:tcW w:w="818"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0.7%</w:t>
            </w:r>
          </w:p>
        </w:tc>
      </w:tr>
      <w:tr w:rsidR="009072DB" w:rsidRPr="009C238A" w:rsidTr="00D70CC4">
        <w:trPr>
          <w:trHeight w:val="503"/>
        </w:trPr>
        <w:tc>
          <w:tcPr>
            <w:tcW w:w="1637" w:type="pct"/>
            <w:gridSpan w:val="2"/>
            <w:tcBorders>
              <w:top w:val="single" w:sz="4" w:space="0" w:color="auto"/>
              <w:left w:val="nil"/>
              <w:bottom w:val="single" w:sz="4"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Profit before taxes</w:t>
            </w:r>
          </w:p>
        </w:tc>
        <w:tc>
          <w:tcPr>
            <w:tcW w:w="864"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97,492</w:t>
            </w:r>
          </w:p>
        </w:tc>
        <w:tc>
          <w:tcPr>
            <w:tcW w:w="725"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30.1%</w:t>
            </w:r>
          </w:p>
        </w:tc>
        <w:tc>
          <w:tcPr>
            <w:tcW w:w="957"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106,927</w:t>
            </w:r>
          </w:p>
        </w:tc>
        <w:tc>
          <w:tcPr>
            <w:tcW w:w="818"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32.9%</w:t>
            </w:r>
          </w:p>
        </w:tc>
      </w:tr>
      <w:tr w:rsidR="009072DB" w:rsidRPr="009C238A" w:rsidTr="00D70CC4">
        <w:trPr>
          <w:trHeight w:val="503"/>
        </w:trPr>
        <w:tc>
          <w:tcPr>
            <w:tcW w:w="1637" w:type="pct"/>
            <w:gridSpan w:val="2"/>
            <w:tcBorders>
              <w:top w:val="nil"/>
              <w:left w:val="nil"/>
              <w:bottom w:val="nil"/>
              <w:right w:val="nil"/>
            </w:tcBorders>
            <w:noWrap/>
            <w:vAlign w:val="center"/>
          </w:tcPr>
          <w:p w:rsidR="009072DB" w:rsidRPr="009C238A" w:rsidRDefault="009072DB" w:rsidP="009072DB">
            <w:pPr>
              <w:rPr>
                <w:sz w:val="20"/>
                <w:szCs w:val="20"/>
                <w:lang w:val="en-US"/>
              </w:rPr>
            </w:pPr>
            <w:r w:rsidRPr="009C238A">
              <w:rPr>
                <w:color w:val="000000" w:themeColor="text1"/>
                <w:sz w:val="20"/>
                <w:szCs w:val="20"/>
                <w:lang w:val="en-US"/>
              </w:rPr>
              <w:t>Income taxes</w:t>
            </w:r>
          </w:p>
        </w:tc>
        <w:tc>
          <w:tcPr>
            <w:tcW w:w="864"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(36,437)</w:t>
            </w:r>
          </w:p>
        </w:tc>
        <w:tc>
          <w:tcPr>
            <w:tcW w:w="72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11.2%</w:t>
            </w:r>
          </w:p>
        </w:tc>
        <w:tc>
          <w:tcPr>
            <w:tcW w:w="957"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(39.972)</w:t>
            </w:r>
          </w:p>
        </w:tc>
        <w:tc>
          <w:tcPr>
            <w:tcW w:w="818"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12.3%</w:t>
            </w:r>
          </w:p>
        </w:tc>
      </w:tr>
      <w:tr w:rsidR="009072DB" w:rsidRPr="009C238A" w:rsidTr="00D70CC4">
        <w:trPr>
          <w:trHeight w:val="469"/>
        </w:trPr>
        <w:tc>
          <w:tcPr>
            <w:tcW w:w="1637" w:type="pct"/>
            <w:gridSpan w:val="2"/>
            <w:tcBorders>
              <w:top w:val="single" w:sz="4" w:space="0" w:color="auto"/>
              <w:left w:val="nil"/>
              <w:bottom w:val="double" w:sz="6"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Net profit</w:t>
            </w:r>
          </w:p>
        </w:tc>
        <w:tc>
          <w:tcPr>
            <w:tcW w:w="864"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61,055</w:t>
            </w:r>
          </w:p>
        </w:tc>
        <w:tc>
          <w:tcPr>
            <w:tcW w:w="725"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18.8%</w:t>
            </w:r>
          </w:p>
        </w:tc>
        <w:tc>
          <w:tcPr>
            <w:tcW w:w="957"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66.955</w:t>
            </w:r>
          </w:p>
        </w:tc>
        <w:tc>
          <w:tcPr>
            <w:tcW w:w="818" w:type="pct"/>
            <w:tcBorders>
              <w:top w:val="single" w:sz="4" w:space="0" w:color="auto"/>
              <w:left w:val="nil"/>
              <w:bottom w:val="double" w:sz="6"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20.6%</w:t>
            </w:r>
          </w:p>
        </w:tc>
      </w:tr>
      <w:tr w:rsidR="009072DB" w:rsidRPr="009C238A" w:rsidTr="00D70CC4">
        <w:trPr>
          <w:trHeight w:val="428"/>
        </w:trPr>
        <w:tc>
          <w:tcPr>
            <w:tcW w:w="639" w:type="pct"/>
            <w:tcBorders>
              <w:top w:val="nil"/>
              <w:left w:val="nil"/>
              <w:bottom w:val="single" w:sz="4" w:space="0" w:color="auto"/>
              <w:right w:val="nil"/>
            </w:tcBorders>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EBITDA (1)</w:t>
            </w:r>
          </w:p>
        </w:tc>
        <w:tc>
          <w:tcPr>
            <w:tcW w:w="997" w:type="pct"/>
            <w:tcBorders>
              <w:top w:val="nil"/>
              <w:left w:val="nil"/>
              <w:bottom w:val="single" w:sz="4" w:space="0" w:color="auto"/>
              <w:right w:val="nil"/>
            </w:tcBorders>
            <w:noWrap/>
            <w:vAlign w:val="center"/>
          </w:tcPr>
          <w:p w:rsidR="009072DB" w:rsidRPr="009C238A" w:rsidRDefault="009072DB" w:rsidP="009072DB">
            <w:pPr>
              <w:jc w:val="center"/>
              <w:rPr>
                <w:sz w:val="20"/>
                <w:szCs w:val="20"/>
                <w:lang w:val="en-US"/>
              </w:rPr>
            </w:pPr>
            <w:r w:rsidRPr="009C238A">
              <w:rPr>
                <w:sz w:val="20"/>
                <w:szCs w:val="20"/>
                <w:lang w:val="en-US"/>
              </w:rPr>
              <w:t> </w:t>
            </w:r>
          </w:p>
        </w:tc>
        <w:tc>
          <w:tcPr>
            <w:tcW w:w="864"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122,501</w:t>
            </w:r>
          </w:p>
        </w:tc>
        <w:tc>
          <w:tcPr>
            <w:tcW w:w="725"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37.8%</w:t>
            </w:r>
          </w:p>
        </w:tc>
        <w:tc>
          <w:tcPr>
            <w:tcW w:w="957"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130,646</w:t>
            </w:r>
          </w:p>
        </w:tc>
        <w:tc>
          <w:tcPr>
            <w:tcW w:w="818"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40.2%</w:t>
            </w:r>
          </w:p>
        </w:tc>
      </w:tr>
    </w:tbl>
    <w:p w:rsidR="009072DB" w:rsidRPr="009C238A" w:rsidRDefault="009072DB" w:rsidP="009072DB">
      <w:pPr>
        <w:jc w:val="center"/>
        <w:rPr>
          <w:b/>
          <w:bCs/>
          <w:color w:val="FF0000"/>
          <w:sz w:val="28"/>
          <w:szCs w:val="28"/>
          <w:highlight w:val="yellow"/>
          <w:lang w:val="en-US"/>
        </w:rPr>
      </w:pPr>
    </w:p>
    <w:p w:rsidR="009072DB" w:rsidRPr="009C238A" w:rsidRDefault="009072DB" w:rsidP="009072DB">
      <w:pPr>
        <w:autoSpaceDE w:val="0"/>
        <w:autoSpaceDN w:val="0"/>
        <w:adjustRightInd w:val="0"/>
        <w:jc w:val="both"/>
        <w:rPr>
          <w:b/>
          <w:bCs/>
          <w:color w:val="FF0000"/>
          <w:sz w:val="28"/>
          <w:szCs w:val="28"/>
          <w:highlight w:val="yellow"/>
          <w:lang w:val="en-US"/>
        </w:rPr>
      </w:pPr>
    </w:p>
    <w:p w:rsidR="009072DB" w:rsidRPr="009C238A" w:rsidRDefault="009072DB" w:rsidP="009072DB">
      <w:pPr>
        <w:jc w:val="both"/>
        <w:rPr>
          <w:lang w:val="en-US"/>
        </w:rPr>
      </w:pPr>
      <w:r w:rsidRPr="009C238A">
        <w:rPr>
          <w:sz w:val="16"/>
          <w:szCs w:val="16"/>
          <w:lang w:val="en-US"/>
        </w:rPr>
        <w:t>(1)</w:t>
      </w:r>
      <w:r w:rsidRPr="009C238A">
        <w:rPr>
          <w:sz w:val="14"/>
          <w:szCs w:val="14"/>
          <w:lang w:val="en-US"/>
        </w:rPr>
        <w:t> </w:t>
      </w:r>
      <w:r w:rsidRPr="009C238A">
        <w:rPr>
          <w:rFonts w:eastAsia="Arial Unicode MS"/>
          <w:color w:val="000000" w:themeColor="text1"/>
          <w:sz w:val="18"/>
          <w:szCs w:val="18"/>
          <w:lang w:val="en-US"/>
        </w:rPr>
        <w:t>The Company defines EBITDA as the “result from operations” before amortization of intangibles and depreciation of property, plant and equipment. EBITDA, which the Company uses to monitor and assess the Group’s operating performance, are not recognized as an accounting tool in the IFRSs and, consequently, should not be viewed as an alternative gauge to assess the Group’s operating performance. Because the composition of EBITDA is not governed by the reference accounting principles, the computation criterion used by the Group could be different from the criterion used by other operators and/or groups and, consequently, may not be comparable.</w:t>
      </w:r>
    </w:p>
    <w:p w:rsidR="009072DB" w:rsidRPr="009C238A" w:rsidRDefault="009072DB" w:rsidP="009072DB">
      <w:pPr>
        <w:rPr>
          <w:b/>
          <w:bCs/>
          <w:lang w:val="en-US" w:eastAsia="en-US"/>
        </w:rPr>
      </w:pPr>
      <w:r w:rsidRPr="009C238A">
        <w:rPr>
          <w:lang w:val="en-US"/>
        </w:rPr>
        <w:br w:type="page"/>
      </w:r>
    </w:p>
    <w:p w:rsidR="009072DB" w:rsidRPr="009C238A" w:rsidRDefault="009072DB" w:rsidP="009072DB">
      <w:pPr>
        <w:pStyle w:val="Titolo3"/>
        <w:jc w:val="both"/>
        <w:rPr>
          <w:color w:val="000000" w:themeColor="text1"/>
          <w:lang w:val="en-US"/>
        </w:rPr>
      </w:pPr>
      <w:bookmarkStart w:id="26" w:name="_Toc276579405"/>
      <w:bookmarkStart w:id="27" w:name="_Toc276579550"/>
      <w:r w:rsidRPr="009C238A">
        <w:rPr>
          <w:color w:val="000000" w:themeColor="text1"/>
          <w:lang w:val="en-US"/>
        </w:rPr>
        <w:lastRenderedPageBreak/>
        <w:t>Net Revenues</w:t>
      </w:r>
      <w:bookmarkEnd w:id="26"/>
      <w:bookmarkEnd w:id="27"/>
    </w:p>
    <w:p w:rsidR="009072DB" w:rsidRPr="009C238A" w:rsidRDefault="009072DB" w:rsidP="009072DB">
      <w:pPr>
        <w:pStyle w:val="Titolo3"/>
        <w:tabs>
          <w:tab w:val="clear" w:pos="720"/>
        </w:tabs>
        <w:ind w:left="0" w:firstLine="0"/>
        <w:jc w:val="both"/>
        <w:rPr>
          <w:lang w:val="en-US"/>
        </w:rPr>
      </w:pPr>
    </w:p>
    <w:p w:rsidR="002A2C16" w:rsidRDefault="009072DB" w:rsidP="009072DB">
      <w:pPr>
        <w:autoSpaceDE w:val="0"/>
        <w:autoSpaceDN w:val="0"/>
        <w:adjustRightInd w:val="0"/>
        <w:jc w:val="both"/>
        <w:rPr>
          <w:color w:val="000000" w:themeColor="text1"/>
          <w:lang w:val="en-US"/>
        </w:rPr>
      </w:pPr>
      <w:r w:rsidRPr="009C238A">
        <w:rPr>
          <w:color w:val="000000" w:themeColor="text1"/>
          <w:lang w:val="en-US"/>
        </w:rPr>
        <w:t>In the first nine months of 2013, revenues totaled 323,921 thousand euros (325,141 thousand euros in the same period last year), up 1.6% at constant exchange rate</w:t>
      </w:r>
      <w:r w:rsidR="00D944DF">
        <w:rPr>
          <w:color w:val="000000" w:themeColor="text1"/>
          <w:lang w:val="en-US"/>
        </w:rPr>
        <w:t>s</w:t>
      </w:r>
      <w:r w:rsidRPr="009C238A">
        <w:rPr>
          <w:color w:val="000000" w:themeColor="text1"/>
          <w:lang w:val="en-US"/>
        </w:rPr>
        <w:t xml:space="preserve"> and substantially in line at current exchange rate</w:t>
      </w:r>
      <w:r w:rsidR="00D944DF">
        <w:rPr>
          <w:color w:val="000000" w:themeColor="text1"/>
          <w:lang w:val="en-US"/>
        </w:rPr>
        <w:t>s</w:t>
      </w:r>
      <w:r w:rsidRPr="009C238A">
        <w:rPr>
          <w:color w:val="000000" w:themeColor="text1"/>
          <w:lang w:val="en-US"/>
        </w:rPr>
        <w:t xml:space="preserve"> (</w:t>
      </w:r>
      <w:r w:rsidR="002A2C16">
        <w:rPr>
          <w:color w:val="000000" w:themeColor="text1"/>
          <w:lang w:val="en-US"/>
        </w:rPr>
        <w:t>-0.4%).</w:t>
      </w:r>
    </w:p>
    <w:p w:rsidR="009072DB" w:rsidRPr="009C238A" w:rsidRDefault="009072DB" w:rsidP="002A2C16">
      <w:pPr>
        <w:autoSpaceDE w:val="0"/>
        <w:autoSpaceDN w:val="0"/>
        <w:adjustRightInd w:val="0"/>
        <w:spacing w:before="60"/>
        <w:jc w:val="both"/>
        <w:rPr>
          <w:color w:val="000000" w:themeColor="text1"/>
          <w:lang w:val="en-US"/>
        </w:rPr>
      </w:pPr>
      <w:r w:rsidRPr="009C238A">
        <w:rPr>
          <w:color w:val="000000" w:themeColor="text1"/>
          <w:lang w:val="en-US"/>
        </w:rPr>
        <w:t>Molecular business sales of the period totaled 2,385 thousand euros and were obtained mainly from customers acquired with NorDiag business in 2012.</w:t>
      </w:r>
    </w:p>
    <w:p w:rsidR="009072DB" w:rsidRPr="009C238A" w:rsidRDefault="009072DB" w:rsidP="009072DB">
      <w:pPr>
        <w:autoSpaceDE w:val="0"/>
        <w:autoSpaceDN w:val="0"/>
        <w:adjustRightInd w:val="0"/>
        <w:jc w:val="both"/>
        <w:rPr>
          <w:lang w:val="en-US"/>
        </w:rPr>
      </w:pPr>
    </w:p>
    <w:p w:rsidR="009072DB" w:rsidRPr="009C238A" w:rsidRDefault="009072DB" w:rsidP="009072DB">
      <w:pPr>
        <w:jc w:val="both"/>
        <w:rPr>
          <w:color w:val="000000" w:themeColor="text1"/>
          <w:lang w:val="en-US"/>
        </w:rPr>
      </w:pPr>
      <w:r w:rsidRPr="009C238A">
        <w:rPr>
          <w:color w:val="000000" w:themeColor="text1"/>
          <w:lang w:val="en-US"/>
        </w:rPr>
        <w:t>The evolution of sales was due to the following elements:</w:t>
      </w:r>
    </w:p>
    <w:p w:rsidR="009072DB" w:rsidRPr="009C238A" w:rsidRDefault="009072DB" w:rsidP="009072DB">
      <w:pPr>
        <w:jc w:val="both"/>
        <w:rPr>
          <w:lang w:val="en-US"/>
        </w:rPr>
      </w:pPr>
    </w:p>
    <w:p w:rsidR="009072DB" w:rsidRPr="009C238A" w:rsidRDefault="009072DB" w:rsidP="009072DB">
      <w:pPr>
        <w:pStyle w:val="Paragrafoelenco"/>
        <w:numPr>
          <w:ilvl w:val="0"/>
          <w:numId w:val="19"/>
        </w:numPr>
        <w:jc w:val="both"/>
        <w:rPr>
          <w:color w:val="000000" w:themeColor="text1"/>
          <w:lang w:val="en-US"/>
        </w:rPr>
      </w:pPr>
      <w:r w:rsidRPr="009C238A">
        <w:rPr>
          <w:color w:val="000000" w:themeColor="text1"/>
          <w:lang w:val="en-US"/>
        </w:rPr>
        <w:t>16% increase at constant exchange rate</w:t>
      </w:r>
      <w:r w:rsidR="00D944DF">
        <w:rPr>
          <w:color w:val="000000" w:themeColor="text1"/>
          <w:lang w:val="en-US"/>
        </w:rPr>
        <w:t>s</w:t>
      </w:r>
      <w:r w:rsidRPr="009C238A">
        <w:rPr>
          <w:color w:val="000000" w:themeColor="text1"/>
          <w:lang w:val="en-US"/>
        </w:rPr>
        <w:t xml:space="preserve"> (</w:t>
      </w:r>
      <w:r w:rsidR="00EE3BA7">
        <w:rPr>
          <w:color w:val="000000" w:themeColor="text1"/>
          <w:lang w:val="en-US"/>
        </w:rPr>
        <w:t>+</w:t>
      </w:r>
      <w:r w:rsidRPr="009C238A">
        <w:rPr>
          <w:color w:val="000000" w:themeColor="text1"/>
          <w:lang w:val="en-US"/>
        </w:rPr>
        <w:t>14.7% at current exchange rate</w:t>
      </w:r>
      <w:r w:rsidR="00D944DF">
        <w:rPr>
          <w:color w:val="000000" w:themeColor="text1"/>
          <w:lang w:val="en-US"/>
        </w:rPr>
        <w:t>s</w:t>
      </w:r>
      <w:r w:rsidRPr="009C238A">
        <w:rPr>
          <w:color w:val="000000" w:themeColor="text1"/>
          <w:lang w:val="en-US"/>
        </w:rPr>
        <w:t>) in CLIA technology product line, net of Vitamin D, thanks to the LIAISON XL success and new products launched on the market in 2013 (</w:t>
      </w:r>
      <w:r w:rsidR="00D944DF">
        <w:rPr>
          <w:color w:val="000000" w:themeColor="text1"/>
          <w:lang w:val="en-US"/>
        </w:rPr>
        <w:t xml:space="preserve">today </w:t>
      </w:r>
      <w:r w:rsidRPr="009C238A">
        <w:rPr>
          <w:color w:val="000000" w:themeColor="text1"/>
          <w:lang w:val="en-US"/>
        </w:rPr>
        <w:t>exceeding the target of 100 assays available);</w:t>
      </w:r>
    </w:p>
    <w:p w:rsidR="009072DB" w:rsidRPr="009C238A" w:rsidRDefault="009072DB" w:rsidP="009072DB">
      <w:pPr>
        <w:ind w:left="709"/>
        <w:jc w:val="both"/>
        <w:rPr>
          <w:lang w:val="en-US"/>
        </w:rPr>
      </w:pPr>
    </w:p>
    <w:p w:rsidR="009072DB" w:rsidRPr="009C238A" w:rsidRDefault="009072DB" w:rsidP="009072DB">
      <w:pPr>
        <w:pStyle w:val="Paragrafoelenco"/>
        <w:numPr>
          <w:ilvl w:val="0"/>
          <w:numId w:val="19"/>
        </w:numPr>
        <w:jc w:val="both"/>
        <w:rPr>
          <w:color w:val="000000" w:themeColor="text1"/>
          <w:lang w:val="en-US"/>
        </w:rPr>
      </w:pPr>
      <w:r w:rsidRPr="009C238A">
        <w:rPr>
          <w:color w:val="000000" w:themeColor="text1"/>
          <w:lang w:val="en-US"/>
        </w:rPr>
        <w:t>16.7% increase at constant exchange rate</w:t>
      </w:r>
      <w:r w:rsidR="00D944DF">
        <w:rPr>
          <w:color w:val="000000" w:themeColor="text1"/>
          <w:lang w:val="en-US"/>
        </w:rPr>
        <w:t>s</w:t>
      </w:r>
      <w:r w:rsidRPr="009C238A">
        <w:rPr>
          <w:color w:val="000000" w:themeColor="text1"/>
          <w:lang w:val="en-US"/>
        </w:rPr>
        <w:t xml:space="preserve"> (+13.4% at current exchange rate</w:t>
      </w:r>
      <w:r w:rsidR="00D944DF">
        <w:rPr>
          <w:color w:val="000000" w:themeColor="text1"/>
          <w:lang w:val="en-US"/>
        </w:rPr>
        <w:t>s</w:t>
      </w:r>
      <w:r w:rsidRPr="009C238A">
        <w:rPr>
          <w:color w:val="000000" w:themeColor="text1"/>
          <w:lang w:val="en-US"/>
        </w:rPr>
        <w:t>) in instruments and consumables sales, with a positive impact on the future generation of revenues derived from reagent sales;</w:t>
      </w:r>
    </w:p>
    <w:p w:rsidR="009072DB" w:rsidRPr="009C238A" w:rsidRDefault="009072DB" w:rsidP="009072DB">
      <w:pPr>
        <w:ind w:left="709"/>
        <w:jc w:val="both"/>
        <w:rPr>
          <w:lang w:val="en-US"/>
        </w:rPr>
      </w:pPr>
    </w:p>
    <w:p w:rsidR="009072DB" w:rsidRPr="009C238A" w:rsidRDefault="009072DB" w:rsidP="009072DB">
      <w:pPr>
        <w:pStyle w:val="Paragrafoelenco"/>
        <w:numPr>
          <w:ilvl w:val="0"/>
          <w:numId w:val="19"/>
        </w:numPr>
        <w:jc w:val="both"/>
        <w:rPr>
          <w:color w:val="000000" w:themeColor="text1"/>
          <w:lang w:val="en-US"/>
        </w:rPr>
      </w:pPr>
      <w:r w:rsidRPr="009C238A">
        <w:rPr>
          <w:color w:val="000000" w:themeColor="text1"/>
          <w:lang w:val="en-US"/>
        </w:rPr>
        <w:t>10.5 % decrease at constant exchange rate</w:t>
      </w:r>
      <w:r w:rsidR="00D944DF">
        <w:rPr>
          <w:color w:val="000000" w:themeColor="text1"/>
          <w:lang w:val="en-US"/>
        </w:rPr>
        <w:t>s</w:t>
      </w:r>
      <w:r w:rsidRPr="009C238A">
        <w:rPr>
          <w:color w:val="000000" w:themeColor="text1"/>
          <w:lang w:val="en-US"/>
        </w:rPr>
        <w:t xml:space="preserve"> (</w:t>
      </w:r>
      <w:r w:rsidR="00EE68DD">
        <w:rPr>
          <w:color w:val="000000" w:themeColor="text1"/>
          <w:lang w:val="en-US"/>
        </w:rPr>
        <w:t>-</w:t>
      </w:r>
      <w:r w:rsidRPr="009C238A">
        <w:rPr>
          <w:color w:val="000000" w:themeColor="text1"/>
          <w:lang w:val="en-US"/>
        </w:rPr>
        <w:t>12.7% at current exchange rate</w:t>
      </w:r>
      <w:r w:rsidR="00D944DF">
        <w:rPr>
          <w:color w:val="000000" w:themeColor="text1"/>
          <w:lang w:val="en-US"/>
        </w:rPr>
        <w:t>s</w:t>
      </w:r>
      <w:r w:rsidRPr="009C238A">
        <w:rPr>
          <w:color w:val="000000" w:themeColor="text1"/>
          <w:lang w:val="en-US"/>
        </w:rPr>
        <w:t xml:space="preserve">) in Vitamin D sales, compared with 2012, mainly due to the </w:t>
      </w:r>
      <w:r w:rsidR="00EE68DD">
        <w:rPr>
          <w:color w:val="000000" w:themeColor="text1"/>
          <w:lang w:val="en-US"/>
        </w:rPr>
        <w:t xml:space="preserve">pricing erosion </w:t>
      </w:r>
      <w:r w:rsidRPr="009C238A">
        <w:rPr>
          <w:color w:val="000000" w:themeColor="text1"/>
          <w:lang w:val="en-US"/>
        </w:rPr>
        <w:t xml:space="preserve">caused by competing products introduced on the market. </w:t>
      </w:r>
      <w:r w:rsidR="00614AF2" w:rsidRPr="009C238A">
        <w:rPr>
          <w:color w:val="000000" w:themeColor="text1"/>
          <w:lang w:val="en-US"/>
        </w:rPr>
        <w:t>Worth mentioning</w:t>
      </w:r>
      <w:r w:rsidRPr="009C238A">
        <w:rPr>
          <w:color w:val="000000" w:themeColor="text1"/>
          <w:lang w:val="en-US"/>
        </w:rPr>
        <w:t xml:space="preserve"> is the slowdown </w:t>
      </w:r>
      <w:r w:rsidR="00927DCE">
        <w:rPr>
          <w:color w:val="000000" w:themeColor="text1"/>
          <w:lang w:val="en-US"/>
        </w:rPr>
        <w:t>of the decrease of the Vitamin D</w:t>
      </w:r>
      <w:r w:rsidRPr="009C238A">
        <w:rPr>
          <w:color w:val="000000" w:themeColor="text1"/>
          <w:lang w:val="en-US"/>
        </w:rPr>
        <w:t xml:space="preserve"> sales, </w:t>
      </w:r>
      <w:r w:rsidR="00927DCE">
        <w:rPr>
          <w:color w:val="000000" w:themeColor="text1"/>
          <w:lang w:val="en-US"/>
        </w:rPr>
        <w:t xml:space="preserve">above all </w:t>
      </w:r>
      <w:r w:rsidRPr="009C238A">
        <w:rPr>
          <w:color w:val="000000" w:themeColor="text1"/>
          <w:lang w:val="en-US"/>
        </w:rPr>
        <w:t>at the end of the period, mainly due to lower price reduction in North America and higher revenues in such important markets as Italy</w:t>
      </w:r>
      <w:r w:rsidR="00927DCE">
        <w:rPr>
          <w:color w:val="000000" w:themeColor="text1"/>
          <w:lang w:val="en-US"/>
        </w:rPr>
        <w:t>, Germany, Australia and Brazil;</w:t>
      </w:r>
    </w:p>
    <w:p w:rsidR="009072DB" w:rsidRPr="009C238A" w:rsidRDefault="009072DB" w:rsidP="009072DB">
      <w:pPr>
        <w:jc w:val="both"/>
        <w:rPr>
          <w:lang w:val="en-US"/>
        </w:rPr>
      </w:pPr>
    </w:p>
    <w:p w:rsidR="009072DB" w:rsidRPr="009C238A" w:rsidRDefault="009072DB" w:rsidP="009072DB">
      <w:pPr>
        <w:pStyle w:val="Paragrafoelenco"/>
        <w:numPr>
          <w:ilvl w:val="0"/>
          <w:numId w:val="19"/>
        </w:numPr>
        <w:jc w:val="both"/>
        <w:rPr>
          <w:color w:val="000000" w:themeColor="text1"/>
          <w:lang w:val="en-US"/>
        </w:rPr>
      </w:pPr>
      <w:r w:rsidRPr="009C238A">
        <w:rPr>
          <w:lang w:val="en-US"/>
        </w:rPr>
        <w:t xml:space="preserve">Growing sales of instruments and consumables (+16.7% </w:t>
      </w:r>
      <w:r w:rsidRPr="009C238A">
        <w:rPr>
          <w:color w:val="000000" w:themeColor="text1"/>
          <w:lang w:val="en-US"/>
        </w:rPr>
        <w:t>at constant exchange rate</w:t>
      </w:r>
      <w:r w:rsidR="00FE5F34">
        <w:rPr>
          <w:color w:val="000000" w:themeColor="text1"/>
          <w:lang w:val="en-US"/>
        </w:rPr>
        <w:t>s</w:t>
      </w:r>
      <w:r w:rsidRPr="009C238A">
        <w:rPr>
          <w:lang w:val="en-US"/>
        </w:rPr>
        <w:t xml:space="preserve">, +13.4% </w:t>
      </w:r>
      <w:r w:rsidRPr="009C238A">
        <w:rPr>
          <w:color w:val="000000" w:themeColor="text1"/>
          <w:lang w:val="en-US"/>
        </w:rPr>
        <w:t>at current exchange rate</w:t>
      </w:r>
      <w:r w:rsidR="00FE5F34">
        <w:rPr>
          <w:color w:val="000000" w:themeColor="text1"/>
          <w:lang w:val="en-US"/>
        </w:rPr>
        <w:t>s</w:t>
      </w:r>
      <w:r w:rsidRPr="009C238A">
        <w:rPr>
          <w:lang w:val="en-US"/>
        </w:rPr>
        <w:t xml:space="preserve">), expected </w:t>
      </w:r>
      <w:r w:rsidRPr="009C238A">
        <w:rPr>
          <w:color w:val="000000" w:themeColor="text1"/>
          <w:lang w:val="en-US"/>
        </w:rPr>
        <w:t>for higher revenues derived from t</w:t>
      </w:r>
      <w:r w:rsidR="00927DCE">
        <w:rPr>
          <w:color w:val="000000" w:themeColor="text1"/>
          <w:lang w:val="en-US"/>
        </w:rPr>
        <w:t>ests performed on these systems.</w:t>
      </w: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p>
    <w:p w:rsidR="009072DB" w:rsidRPr="009C238A" w:rsidRDefault="009072DB" w:rsidP="009072DB">
      <w:pPr>
        <w:tabs>
          <w:tab w:val="left" w:pos="284"/>
          <w:tab w:val="left" w:pos="709"/>
        </w:tabs>
        <w:autoSpaceDE w:val="0"/>
        <w:autoSpaceDN w:val="0"/>
        <w:adjustRightInd w:val="0"/>
        <w:spacing w:before="60" w:line="260" w:lineRule="exact"/>
        <w:jc w:val="both"/>
        <w:rPr>
          <w:lang w:val="en-US"/>
        </w:rPr>
      </w:pPr>
    </w:p>
    <w:p w:rsidR="009072DB" w:rsidRPr="009C238A" w:rsidRDefault="009072DB" w:rsidP="009072DB">
      <w:pPr>
        <w:rPr>
          <w:lang w:val="en-US"/>
        </w:rPr>
      </w:pPr>
    </w:p>
    <w:p w:rsidR="009072DB" w:rsidRPr="009C238A" w:rsidRDefault="009072DB" w:rsidP="009072DB">
      <w:pPr>
        <w:spacing w:before="240" w:after="240" w:line="240" w:lineRule="atLeast"/>
        <w:ind w:right="-54"/>
        <w:jc w:val="both"/>
        <w:rPr>
          <w:b/>
          <w:bCs/>
          <w:i/>
          <w:iCs/>
          <w:color w:val="000000" w:themeColor="text1"/>
          <w:lang w:val="en-US"/>
        </w:rPr>
      </w:pPr>
      <w:r w:rsidRPr="009C238A">
        <w:rPr>
          <w:b/>
          <w:i/>
          <w:color w:val="000000" w:themeColor="text1"/>
          <w:lang w:val="en-US"/>
        </w:rPr>
        <w:lastRenderedPageBreak/>
        <w:t>A</w:t>
      </w:r>
      <w:r w:rsidRPr="009C238A">
        <w:rPr>
          <w:b/>
          <w:bCs/>
          <w:i/>
          <w:iCs/>
          <w:color w:val="000000" w:themeColor="text1"/>
          <w:lang w:val="en-US"/>
        </w:rPr>
        <w:t xml:space="preserve"> Breakdown of revenues by geographic region </w:t>
      </w:r>
    </w:p>
    <w:p w:rsidR="009072DB" w:rsidRPr="009C238A" w:rsidRDefault="009072DB" w:rsidP="009072DB">
      <w:pPr>
        <w:jc w:val="both"/>
        <w:rPr>
          <w:color w:val="000000" w:themeColor="text1"/>
          <w:lang w:val="en-US"/>
        </w:rPr>
      </w:pPr>
      <w:r w:rsidRPr="009C238A">
        <w:rPr>
          <w:color w:val="000000" w:themeColor="text1"/>
          <w:lang w:val="en-US"/>
        </w:rPr>
        <w:t>The table below provides a breakdown of the consolidated revenues of the Diasorin Group by geographic region of destination. The data of the first nine months</w:t>
      </w:r>
      <w:r w:rsidR="00FE5F34">
        <w:rPr>
          <w:color w:val="000000" w:themeColor="text1"/>
          <w:lang w:val="en-US"/>
        </w:rPr>
        <w:t xml:space="preserve"> of 2012</w:t>
      </w:r>
      <w:r w:rsidRPr="009C238A">
        <w:rPr>
          <w:color w:val="000000" w:themeColor="text1"/>
          <w:lang w:val="en-US"/>
        </w:rPr>
        <w:t xml:space="preserve"> have been reclassified allocating Murex products sales to the reference regions.</w:t>
      </w:r>
    </w:p>
    <w:p w:rsidR="009072DB" w:rsidRPr="009C238A" w:rsidRDefault="009072DB" w:rsidP="009072DB">
      <w:pPr>
        <w:spacing w:before="240" w:line="240" w:lineRule="atLeast"/>
        <w:ind w:right="-54"/>
        <w:jc w:val="both"/>
        <w:rPr>
          <w:lang w:val="en-US"/>
        </w:rPr>
      </w:pPr>
    </w:p>
    <w:tbl>
      <w:tblPr>
        <w:tblW w:w="5000" w:type="pct"/>
        <w:tblCellMar>
          <w:left w:w="70" w:type="dxa"/>
          <w:right w:w="70" w:type="dxa"/>
        </w:tblCellMar>
        <w:tblLook w:val="00A0"/>
      </w:tblPr>
      <w:tblGrid>
        <w:gridCol w:w="3153"/>
        <w:gridCol w:w="1604"/>
        <w:gridCol w:w="1602"/>
        <w:gridCol w:w="1711"/>
        <w:gridCol w:w="1709"/>
      </w:tblGrid>
      <w:tr w:rsidR="009072DB" w:rsidRPr="00923B29" w:rsidTr="002A1C02">
        <w:trPr>
          <w:trHeight w:val="510"/>
        </w:trPr>
        <w:tc>
          <w:tcPr>
            <w:tcW w:w="1612" w:type="pct"/>
            <w:tcBorders>
              <w:top w:val="single" w:sz="4" w:space="0" w:color="auto"/>
              <w:left w:val="nil"/>
              <w:bottom w:val="single" w:sz="4" w:space="0" w:color="auto"/>
              <w:right w:val="nil"/>
            </w:tcBorders>
            <w:vAlign w:val="center"/>
          </w:tcPr>
          <w:p w:rsidR="009072DB" w:rsidRPr="009C238A" w:rsidRDefault="009072DB" w:rsidP="009072DB">
            <w:pPr>
              <w:rPr>
                <w:i/>
                <w:iCs/>
                <w:sz w:val="20"/>
                <w:szCs w:val="20"/>
                <w:lang w:val="en-US"/>
              </w:rPr>
            </w:pPr>
            <w:r w:rsidRPr="009C238A">
              <w:rPr>
                <w:i/>
                <w:iCs/>
                <w:sz w:val="20"/>
                <w:szCs w:val="20"/>
                <w:lang w:val="en-US"/>
              </w:rPr>
              <w:t>(in thousands of euros)</w:t>
            </w:r>
          </w:p>
        </w:tc>
        <w:tc>
          <w:tcPr>
            <w:tcW w:w="820"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 xml:space="preserve">First nine months </w:t>
            </w:r>
            <w:r w:rsidRPr="009C238A">
              <w:rPr>
                <w:b/>
                <w:bCs/>
                <w:sz w:val="20"/>
                <w:szCs w:val="20"/>
                <w:lang w:val="en-US"/>
              </w:rPr>
              <w:br/>
              <w:t>2013</w:t>
            </w:r>
          </w:p>
        </w:tc>
        <w:tc>
          <w:tcPr>
            <w:tcW w:w="819"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 xml:space="preserve">First nine months </w:t>
            </w:r>
            <w:r w:rsidRPr="009C238A">
              <w:rPr>
                <w:b/>
                <w:bCs/>
                <w:sz w:val="20"/>
                <w:szCs w:val="20"/>
                <w:lang w:val="en-US"/>
              </w:rPr>
              <w:br/>
              <w:t>2012</w:t>
            </w:r>
          </w:p>
        </w:tc>
        <w:tc>
          <w:tcPr>
            <w:tcW w:w="875" w:type="pct"/>
            <w:tcBorders>
              <w:top w:val="single" w:sz="4" w:space="0" w:color="auto"/>
              <w:left w:val="nil"/>
              <w:bottom w:val="single" w:sz="4" w:space="0" w:color="auto"/>
              <w:right w:val="nil"/>
            </w:tcBorders>
            <w:vAlign w:val="center"/>
          </w:tcPr>
          <w:p w:rsidR="009072DB" w:rsidRPr="009C238A" w:rsidRDefault="009072DB" w:rsidP="009072DB">
            <w:pPr>
              <w:jc w:val="right"/>
              <w:rPr>
                <w:b/>
                <w:bCs/>
                <w:color w:val="000000" w:themeColor="text1"/>
                <w:sz w:val="20"/>
                <w:szCs w:val="20"/>
                <w:lang w:val="en-US"/>
              </w:rPr>
            </w:pPr>
            <w:r w:rsidRPr="009C238A">
              <w:rPr>
                <w:b/>
                <w:bCs/>
                <w:color w:val="000000" w:themeColor="text1"/>
                <w:sz w:val="20"/>
                <w:szCs w:val="20"/>
                <w:lang w:val="en-US"/>
              </w:rPr>
              <w:t>% Change at</w:t>
            </w:r>
          </w:p>
          <w:p w:rsidR="009072DB" w:rsidRPr="009C238A" w:rsidRDefault="009072DB" w:rsidP="009072DB">
            <w:pPr>
              <w:jc w:val="right"/>
              <w:rPr>
                <w:b/>
                <w:bCs/>
                <w:sz w:val="20"/>
                <w:szCs w:val="20"/>
                <w:lang w:val="en-US"/>
              </w:rPr>
            </w:pPr>
            <w:r w:rsidRPr="009C238A">
              <w:rPr>
                <w:b/>
                <w:bCs/>
                <w:color w:val="000000" w:themeColor="text1"/>
                <w:sz w:val="20"/>
                <w:szCs w:val="20"/>
                <w:lang w:val="en-US"/>
              </w:rPr>
              <w:t xml:space="preserve"> current exchange rates</w:t>
            </w:r>
          </w:p>
        </w:tc>
        <w:tc>
          <w:tcPr>
            <w:tcW w:w="875"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color w:val="000000" w:themeColor="text1"/>
                <w:sz w:val="20"/>
                <w:szCs w:val="20"/>
                <w:lang w:val="en-US"/>
              </w:rPr>
              <w:t>% Change at constant exchange rates</w:t>
            </w:r>
          </w:p>
        </w:tc>
      </w:tr>
      <w:tr w:rsidR="009072DB" w:rsidRPr="009C238A" w:rsidTr="002A1C02">
        <w:trPr>
          <w:trHeight w:val="255"/>
        </w:trPr>
        <w:tc>
          <w:tcPr>
            <w:tcW w:w="1612"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Europe and Africa</w:t>
            </w:r>
          </w:p>
        </w:tc>
        <w:tc>
          <w:tcPr>
            <w:tcW w:w="820"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155,669</w:t>
            </w:r>
          </w:p>
        </w:tc>
        <w:tc>
          <w:tcPr>
            <w:tcW w:w="819"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149,562</w:t>
            </w:r>
          </w:p>
        </w:tc>
        <w:tc>
          <w:tcPr>
            <w:tcW w:w="875" w:type="pct"/>
            <w:tcBorders>
              <w:top w:val="nil"/>
              <w:left w:val="nil"/>
              <w:bottom w:val="nil"/>
              <w:right w:val="nil"/>
            </w:tcBorders>
            <w:noWrap/>
            <w:vAlign w:val="center"/>
          </w:tcPr>
          <w:p w:rsidR="009072DB" w:rsidRPr="009C238A" w:rsidRDefault="00AA629D" w:rsidP="009072DB">
            <w:pPr>
              <w:jc w:val="right"/>
              <w:rPr>
                <w:sz w:val="20"/>
                <w:szCs w:val="20"/>
                <w:lang w:val="en-US"/>
              </w:rPr>
            </w:pPr>
            <w:r>
              <w:rPr>
                <w:sz w:val="20"/>
                <w:szCs w:val="20"/>
                <w:lang w:val="en-US"/>
              </w:rPr>
              <w:t>+</w:t>
            </w:r>
            <w:r w:rsidR="009072DB" w:rsidRPr="009C238A">
              <w:rPr>
                <w:sz w:val="20"/>
                <w:szCs w:val="20"/>
                <w:lang w:val="en-US"/>
              </w:rPr>
              <w:t>4.1%</w:t>
            </w:r>
          </w:p>
        </w:tc>
        <w:tc>
          <w:tcPr>
            <w:tcW w:w="875" w:type="pct"/>
            <w:tcBorders>
              <w:top w:val="nil"/>
              <w:left w:val="nil"/>
              <w:bottom w:val="nil"/>
              <w:right w:val="nil"/>
            </w:tcBorders>
            <w:noWrap/>
            <w:vAlign w:val="center"/>
          </w:tcPr>
          <w:p w:rsidR="009072DB" w:rsidRPr="009C238A" w:rsidRDefault="00AA629D" w:rsidP="009072DB">
            <w:pPr>
              <w:jc w:val="right"/>
              <w:rPr>
                <w:sz w:val="20"/>
                <w:szCs w:val="20"/>
                <w:lang w:val="en-US"/>
              </w:rPr>
            </w:pPr>
            <w:r>
              <w:rPr>
                <w:sz w:val="20"/>
                <w:szCs w:val="20"/>
                <w:lang w:val="en-US"/>
              </w:rPr>
              <w:t>+</w:t>
            </w:r>
            <w:r w:rsidR="009072DB" w:rsidRPr="009C238A">
              <w:rPr>
                <w:sz w:val="20"/>
                <w:szCs w:val="20"/>
                <w:lang w:val="en-US"/>
              </w:rPr>
              <w:t>4.2%</w:t>
            </w:r>
          </w:p>
        </w:tc>
      </w:tr>
      <w:tr w:rsidR="009072DB" w:rsidRPr="009C238A" w:rsidTr="002A1C02">
        <w:trPr>
          <w:trHeight w:val="255"/>
        </w:trPr>
        <w:tc>
          <w:tcPr>
            <w:tcW w:w="1612"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 xml:space="preserve">North America </w:t>
            </w:r>
          </w:p>
        </w:tc>
        <w:tc>
          <w:tcPr>
            <w:tcW w:w="820"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80,254</w:t>
            </w:r>
          </w:p>
        </w:tc>
        <w:tc>
          <w:tcPr>
            <w:tcW w:w="819"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96,061</w:t>
            </w:r>
          </w:p>
        </w:tc>
        <w:tc>
          <w:tcPr>
            <w:tcW w:w="87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-16.5%</w:t>
            </w:r>
          </w:p>
        </w:tc>
        <w:tc>
          <w:tcPr>
            <w:tcW w:w="875"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-14.1%</w:t>
            </w:r>
          </w:p>
        </w:tc>
      </w:tr>
      <w:tr w:rsidR="009072DB" w:rsidRPr="009C238A" w:rsidTr="002A1C02">
        <w:trPr>
          <w:trHeight w:val="255"/>
        </w:trPr>
        <w:tc>
          <w:tcPr>
            <w:tcW w:w="1612"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Asia Pacific</w:t>
            </w:r>
          </w:p>
        </w:tc>
        <w:tc>
          <w:tcPr>
            <w:tcW w:w="820"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50,830</w:t>
            </w:r>
          </w:p>
        </w:tc>
        <w:tc>
          <w:tcPr>
            <w:tcW w:w="819"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45,319</w:t>
            </w:r>
          </w:p>
        </w:tc>
        <w:tc>
          <w:tcPr>
            <w:tcW w:w="875" w:type="pct"/>
            <w:tcBorders>
              <w:top w:val="nil"/>
              <w:left w:val="nil"/>
              <w:bottom w:val="nil"/>
              <w:right w:val="nil"/>
            </w:tcBorders>
            <w:noWrap/>
            <w:vAlign w:val="center"/>
          </w:tcPr>
          <w:p w:rsidR="009072DB" w:rsidRPr="009C238A" w:rsidRDefault="00AA629D" w:rsidP="009072DB">
            <w:pPr>
              <w:jc w:val="right"/>
              <w:rPr>
                <w:sz w:val="20"/>
                <w:szCs w:val="20"/>
                <w:lang w:val="en-US"/>
              </w:rPr>
            </w:pPr>
            <w:r>
              <w:rPr>
                <w:sz w:val="20"/>
                <w:szCs w:val="20"/>
                <w:lang w:val="en-US"/>
              </w:rPr>
              <w:t>+</w:t>
            </w:r>
            <w:r w:rsidR="009072DB" w:rsidRPr="009C238A">
              <w:rPr>
                <w:sz w:val="20"/>
                <w:szCs w:val="20"/>
                <w:lang w:val="en-US"/>
              </w:rPr>
              <w:t>12.2%</w:t>
            </w:r>
          </w:p>
        </w:tc>
        <w:tc>
          <w:tcPr>
            <w:tcW w:w="875" w:type="pct"/>
            <w:tcBorders>
              <w:top w:val="nil"/>
              <w:left w:val="nil"/>
              <w:bottom w:val="nil"/>
              <w:right w:val="nil"/>
            </w:tcBorders>
            <w:noWrap/>
            <w:vAlign w:val="center"/>
          </w:tcPr>
          <w:p w:rsidR="009072DB" w:rsidRPr="009C238A" w:rsidRDefault="00AA629D" w:rsidP="009072DB">
            <w:pPr>
              <w:jc w:val="right"/>
              <w:rPr>
                <w:sz w:val="20"/>
                <w:szCs w:val="20"/>
                <w:lang w:val="en-US"/>
              </w:rPr>
            </w:pPr>
            <w:r>
              <w:rPr>
                <w:sz w:val="20"/>
                <w:szCs w:val="20"/>
                <w:lang w:val="en-US"/>
              </w:rPr>
              <w:t>+</w:t>
            </w:r>
            <w:r w:rsidR="009072DB" w:rsidRPr="009C238A">
              <w:rPr>
                <w:sz w:val="20"/>
                <w:szCs w:val="20"/>
                <w:lang w:val="en-US"/>
              </w:rPr>
              <w:t>14.4%</w:t>
            </w:r>
          </w:p>
        </w:tc>
      </w:tr>
      <w:tr w:rsidR="009072DB" w:rsidRPr="009C238A" w:rsidTr="002A1C02">
        <w:trPr>
          <w:trHeight w:val="255"/>
        </w:trPr>
        <w:tc>
          <w:tcPr>
            <w:tcW w:w="1612"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Central and South America</w:t>
            </w:r>
          </w:p>
        </w:tc>
        <w:tc>
          <w:tcPr>
            <w:tcW w:w="820"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37,168</w:t>
            </w:r>
          </w:p>
        </w:tc>
        <w:tc>
          <w:tcPr>
            <w:tcW w:w="819"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34,199</w:t>
            </w:r>
          </w:p>
        </w:tc>
        <w:tc>
          <w:tcPr>
            <w:tcW w:w="875" w:type="pct"/>
            <w:tcBorders>
              <w:top w:val="nil"/>
              <w:left w:val="nil"/>
              <w:bottom w:val="nil"/>
              <w:right w:val="nil"/>
            </w:tcBorders>
            <w:noWrap/>
            <w:vAlign w:val="center"/>
          </w:tcPr>
          <w:p w:rsidR="009072DB" w:rsidRPr="009C238A" w:rsidRDefault="00AA629D" w:rsidP="009072DB">
            <w:pPr>
              <w:jc w:val="right"/>
              <w:rPr>
                <w:sz w:val="20"/>
                <w:szCs w:val="20"/>
                <w:lang w:val="en-US"/>
              </w:rPr>
            </w:pPr>
            <w:r>
              <w:rPr>
                <w:sz w:val="20"/>
                <w:szCs w:val="20"/>
                <w:lang w:val="en-US"/>
              </w:rPr>
              <w:t>+</w:t>
            </w:r>
            <w:r w:rsidR="009072DB" w:rsidRPr="009C238A">
              <w:rPr>
                <w:sz w:val="20"/>
                <w:szCs w:val="20"/>
                <w:lang w:val="en-US"/>
              </w:rPr>
              <w:t>8.7%</w:t>
            </w:r>
          </w:p>
        </w:tc>
        <w:tc>
          <w:tcPr>
            <w:tcW w:w="875" w:type="pct"/>
            <w:tcBorders>
              <w:top w:val="nil"/>
              <w:left w:val="nil"/>
              <w:bottom w:val="nil"/>
              <w:right w:val="nil"/>
            </w:tcBorders>
            <w:noWrap/>
            <w:vAlign w:val="center"/>
          </w:tcPr>
          <w:p w:rsidR="009072DB" w:rsidRPr="009C238A" w:rsidRDefault="00AA629D" w:rsidP="009072DB">
            <w:pPr>
              <w:jc w:val="right"/>
              <w:rPr>
                <w:sz w:val="20"/>
                <w:szCs w:val="20"/>
                <w:lang w:val="en-US"/>
              </w:rPr>
            </w:pPr>
            <w:r>
              <w:rPr>
                <w:sz w:val="20"/>
                <w:szCs w:val="20"/>
                <w:lang w:val="en-US"/>
              </w:rPr>
              <w:t>+</w:t>
            </w:r>
            <w:r w:rsidR="009072DB" w:rsidRPr="009C238A">
              <w:rPr>
                <w:sz w:val="20"/>
                <w:szCs w:val="20"/>
                <w:lang w:val="en-US"/>
              </w:rPr>
              <w:t>17.5%</w:t>
            </w:r>
          </w:p>
        </w:tc>
      </w:tr>
      <w:tr w:rsidR="009072DB" w:rsidRPr="009C238A" w:rsidTr="002A1C02">
        <w:trPr>
          <w:trHeight w:val="255"/>
        </w:trPr>
        <w:tc>
          <w:tcPr>
            <w:tcW w:w="1612"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sz w:val="20"/>
                <w:szCs w:val="20"/>
                <w:lang w:val="en-US"/>
              </w:rPr>
              <w:t>Total</w:t>
            </w:r>
          </w:p>
        </w:tc>
        <w:tc>
          <w:tcPr>
            <w:tcW w:w="820"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323,921</w:t>
            </w:r>
          </w:p>
        </w:tc>
        <w:tc>
          <w:tcPr>
            <w:tcW w:w="819"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325,141</w:t>
            </w:r>
          </w:p>
        </w:tc>
        <w:tc>
          <w:tcPr>
            <w:tcW w:w="875"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-0.4%</w:t>
            </w:r>
          </w:p>
        </w:tc>
        <w:tc>
          <w:tcPr>
            <w:tcW w:w="875" w:type="pct"/>
            <w:tcBorders>
              <w:top w:val="single" w:sz="4" w:space="0" w:color="auto"/>
              <w:left w:val="nil"/>
              <w:bottom w:val="single" w:sz="4" w:space="0" w:color="auto"/>
              <w:right w:val="nil"/>
            </w:tcBorders>
            <w:noWrap/>
            <w:vAlign w:val="center"/>
          </w:tcPr>
          <w:p w:rsidR="009072DB" w:rsidRPr="009C238A" w:rsidRDefault="00AA629D" w:rsidP="009072DB">
            <w:pPr>
              <w:jc w:val="right"/>
              <w:rPr>
                <w:b/>
                <w:bCs/>
                <w:sz w:val="20"/>
                <w:szCs w:val="20"/>
                <w:lang w:val="en-US"/>
              </w:rPr>
            </w:pPr>
            <w:r>
              <w:rPr>
                <w:b/>
                <w:bCs/>
                <w:sz w:val="20"/>
                <w:szCs w:val="20"/>
                <w:lang w:val="en-US"/>
              </w:rPr>
              <w:t>+</w:t>
            </w:r>
            <w:r w:rsidR="009072DB" w:rsidRPr="009C238A">
              <w:rPr>
                <w:b/>
                <w:bCs/>
                <w:sz w:val="20"/>
                <w:szCs w:val="20"/>
                <w:lang w:val="en-US"/>
              </w:rPr>
              <w:t>1.6%</w:t>
            </w:r>
          </w:p>
        </w:tc>
      </w:tr>
    </w:tbl>
    <w:p w:rsidR="009072DB" w:rsidRPr="009C238A" w:rsidRDefault="002A1C02" w:rsidP="009072DB">
      <w:pPr>
        <w:spacing w:before="240" w:line="240" w:lineRule="atLeast"/>
        <w:ind w:right="-54"/>
        <w:jc w:val="both"/>
        <w:rPr>
          <w:lang w:val="en-US"/>
        </w:rPr>
      </w:pPr>
      <w:r w:rsidRPr="002A1C02">
        <w:rPr>
          <w:noProof/>
          <w:lang w:val="en-US" w:eastAsia="en-US"/>
        </w:rPr>
        <w:drawing>
          <wp:inline distT="0" distB="0" distL="0" distR="0">
            <wp:extent cx="6120765" cy="183496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1834960"/>
                    </a:xfrm>
                    <a:prstGeom prst="rect">
                      <a:avLst/>
                    </a:prstGeom>
                    <a:noFill/>
                    <a:ln>
                      <a:noFill/>
                    </a:ln>
                  </pic:spPr>
                </pic:pic>
              </a:graphicData>
            </a:graphic>
          </wp:inline>
        </w:drawing>
      </w:r>
    </w:p>
    <w:p w:rsidR="009072DB" w:rsidRPr="009C238A" w:rsidRDefault="009072DB" w:rsidP="009072DB">
      <w:pPr>
        <w:spacing w:before="240" w:line="240" w:lineRule="atLeast"/>
        <w:ind w:right="-54"/>
        <w:jc w:val="both"/>
        <w:rPr>
          <w:lang w:val="en-US"/>
        </w:rPr>
      </w:pPr>
    </w:p>
    <w:p w:rsidR="009072DB" w:rsidRPr="009C238A" w:rsidRDefault="009072DB" w:rsidP="009072DB">
      <w:pPr>
        <w:spacing w:before="240" w:line="240" w:lineRule="atLeast"/>
        <w:ind w:right="-54"/>
        <w:jc w:val="both"/>
        <w:rPr>
          <w:i/>
          <w:lang w:val="en-US"/>
        </w:rPr>
      </w:pPr>
      <w:r w:rsidRPr="009C238A">
        <w:rPr>
          <w:i/>
          <w:lang w:val="en-US"/>
        </w:rPr>
        <w:t>Europe and Africa</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 xml:space="preserve">Despite the difficult macroeconomic environment that characterized most of the European markets, </w:t>
      </w:r>
      <w:r w:rsidRPr="009C238A">
        <w:rPr>
          <w:color w:val="000000" w:themeColor="text1"/>
          <w:sz w:val="23"/>
          <w:szCs w:val="23"/>
          <w:lang w:val="en-US"/>
        </w:rPr>
        <w:t>revenues booked in the Europe and Africa sales region totaled 155,6</w:t>
      </w:r>
      <w:r w:rsidR="007D44B0">
        <w:rPr>
          <w:color w:val="000000" w:themeColor="text1"/>
          <w:sz w:val="23"/>
          <w:szCs w:val="23"/>
          <w:lang w:val="en-US"/>
        </w:rPr>
        <w:t>6</w:t>
      </w:r>
      <w:r w:rsidRPr="009C238A">
        <w:rPr>
          <w:color w:val="000000" w:themeColor="text1"/>
          <w:sz w:val="23"/>
          <w:szCs w:val="23"/>
          <w:lang w:val="en-US"/>
        </w:rPr>
        <w:t>9 thousand euros, for a gain of 4.1% compared with 2012</w:t>
      </w:r>
      <w:r w:rsidRPr="009C238A">
        <w:rPr>
          <w:color w:val="000000" w:themeColor="text1"/>
          <w:lang w:val="en-US"/>
        </w:rPr>
        <w:t>. Specifically:</w:t>
      </w:r>
    </w:p>
    <w:p w:rsidR="009072DB" w:rsidRPr="00071942" w:rsidRDefault="001964D9" w:rsidP="00365974">
      <w:pPr>
        <w:pStyle w:val="Paragrafoelenco"/>
        <w:numPr>
          <w:ilvl w:val="0"/>
          <w:numId w:val="5"/>
        </w:numPr>
        <w:spacing w:before="200" w:line="240" w:lineRule="atLeast"/>
        <w:ind w:left="720" w:right="-58" w:hanging="432"/>
        <w:jc w:val="both"/>
        <w:rPr>
          <w:lang w:val="en-US"/>
        </w:rPr>
      </w:pPr>
      <w:r>
        <w:rPr>
          <w:rFonts w:eastAsiaTheme="minorEastAsia"/>
          <w:color w:val="000000" w:themeColor="text1"/>
          <w:lang w:val="en-US"/>
        </w:rPr>
        <w:t>r</w:t>
      </w:r>
      <w:r w:rsidR="009072DB" w:rsidRPr="00071942">
        <w:rPr>
          <w:rFonts w:eastAsiaTheme="minorEastAsia"/>
          <w:color w:val="000000" w:themeColor="text1"/>
          <w:lang w:val="en-US"/>
        </w:rPr>
        <w:t xml:space="preserve">evenues growth in the Italian market (+6.1%), </w:t>
      </w:r>
      <w:r w:rsidR="009072DB" w:rsidRPr="00071942">
        <w:rPr>
          <w:color w:val="000000" w:themeColor="text1"/>
          <w:lang w:val="en-US"/>
        </w:rPr>
        <w:t>despite a -2.5% contraction in the reference market,</w:t>
      </w:r>
      <w:r w:rsidR="009072DB" w:rsidRPr="00071942">
        <w:rPr>
          <w:rFonts w:eastAsiaTheme="minorEastAsia"/>
          <w:color w:val="000000" w:themeColor="text1"/>
          <w:lang w:val="en-US"/>
        </w:rPr>
        <w:t xml:space="preserve"> driven by the introduction of new products (mainly in the Hepatitis and Endocrinology clinical areas), the strong performance of Vitamin D sales and the enrichment o</w:t>
      </w:r>
      <w:r>
        <w:rPr>
          <w:rFonts w:eastAsiaTheme="minorEastAsia"/>
          <w:color w:val="000000" w:themeColor="text1"/>
          <w:lang w:val="en-US"/>
        </w:rPr>
        <w:t>f the Infectious Diseases panel;</w:t>
      </w:r>
    </w:p>
    <w:p w:rsidR="009072DB" w:rsidRPr="00071942" w:rsidRDefault="001964D9" w:rsidP="00365974">
      <w:pPr>
        <w:pStyle w:val="Paragrafoelenco"/>
        <w:numPr>
          <w:ilvl w:val="0"/>
          <w:numId w:val="5"/>
        </w:numPr>
        <w:spacing w:before="200" w:line="240" w:lineRule="atLeast"/>
        <w:ind w:left="720" w:right="-58" w:hanging="432"/>
        <w:jc w:val="both"/>
        <w:rPr>
          <w:lang w:val="en-US"/>
        </w:rPr>
      </w:pPr>
      <w:r>
        <w:rPr>
          <w:color w:val="000000" w:themeColor="text1"/>
          <w:lang w:val="en-US"/>
        </w:rPr>
        <w:t>g</w:t>
      </w:r>
      <w:r w:rsidR="009072DB" w:rsidRPr="00071942">
        <w:rPr>
          <w:color w:val="000000" w:themeColor="text1"/>
          <w:lang w:val="en-US"/>
        </w:rPr>
        <w:t>rowth i</w:t>
      </w:r>
      <w:r w:rsidR="00FE5F34" w:rsidRPr="00071942">
        <w:rPr>
          <w:color w:val="000000" w:themeColor="text1"/>
          <w:lang w:val="en-US"/>
        </w:rPr>
        <w:t>n the German market (+</w:t>
      </w:r>
      <w:r w:rsidR="009072DB" w:rsidRPr="00071942">
        <w:rPr>
          <w:color w:val="000000" w:themeColor="text1"/>
          <w:lang w:val="en-US"/>
        </w:rPr>
        <w:t>11.2%), due to long-terms contract signed in 2012 with big chains of private laboratories which adopted LIAISON XL, the introduction of new products (Endocrinology) and the upward trend in Vitamin D sales (+19.7%);</w:t>
      </w:r>
    </w:p>
    <w:p w:rsidR="009072DB" w:rsidRPr="00071942" w:rsidRDefault="001964D9" w:rsidP="00365974">
      <w:pPr>
        <w:pStyle w:val="Paragrafoelenco"/>
        <w:numPr>
          <w:ilvl w:val="0"/>
          <w:numId w:val="5"/>
        </w:numPr>
        <w:spacing w:before="200" w:line="240" w:lineRule="atLeast"/>
        <w:ind w:left="706" w:right="-58" w:hanging="425"/>
        <w:jc w:val="both"/>
        <w:rPr>
          <w:lang w:val="en-US"/>
        </w:rPr>
      </w:pPr>
      <w:r>
        <w:rPr>
          <w:color w:val="000000" w:themeColor="text1"/>
          <w:lang w:val="en-US"/>
        </w:rPr>
        <w:t>s</w:t>
      </w:r>
      <w:r w:rsidR="009072DB" w:rsidRPr="00071942">
        <w:rPr>
          <w:color w:val="000000" w:themeColor="text1"/>
          <w:lang w:val="en-US"/>
        </w:rPr>
        <w:t xml:space="preserve">ales slowdown in the French market (-5.3%) due exclusively to the Vitamin D performance. Net of sales, the French market reported a </w:t>
      </w:r>
      <w:r w:rsidR="00365974">
        <w:rPr>
          <w:color w:val="000000" w:themeColor="text1"/>
          <w:lang w:val="en-US"/>
        </w:rPr>
        <w:t xml:space="preserve">growth of about 6 </w:t>
      </w:r>
      <w:r w:rsidR="009072DB" w:rsidRPr="00071942">
        <w:rPr>
          <w:color w:val="000000" w:themeColor="text1"/>
          <w:lang w:val="en-US"/>
        </w:rPr>
        <w:t>percentage point</w:t>
      </w:r>
      <w:r w:rsidR="00365974">
        <w:rPr>
          <w:color w:val="000000" w:themeColor="text1"/>
          <w:lang w:val="en-US"/>
        </w:rPr>
        <w:t>s</w:t>
      </w:r>
      <w:r w:rsidR="009072DB" w:rsidRPr="00071942">
        <w:rPr>
          <w:color w:val="000000" w:themeColor="text1"/>
          <w:lang w:val="en-US"/>
        </w:rPr>
        <w:t>, despite a 2% contraction in the reference market. Sales of CLIA reagents, excluding Vitamin D, were up over 15 percentage points, compared with the first nine months of 2012;</w:t>
      </w:r>
    </w:p>
    <w:p w:rsidR="009072DB" w:rsidRPr="00071942" w:rsidRDefault="001964D9" w:rsidP="00365974">
      <w:pPr>
        <w:pStyle w:val="Paragrafoelenco"/>
        <w:numPr>
          <w:ilvl w:val="0"/>
          <w:numId w:val="5"/>
        </w:numPr>
        <w:spacing w:before="200" w:line="240" w:lineRule="atLeast"/>
        <w:ind w:left="706" w:right="-58" w:hanging="437"/>
        <w:jc w:val="both"/>
        <w:rPr>
          <w:color w:val="000000" w:themeColor="text1"/>
          <w:lang w:val="en-US"/>
        </w:rPr>
      </w:pPr>
      <w:r>
        <w:rPr>
          <w:color w:val="000000" w:themeColor="text1"/>
          <w:lang w:val="en-US"/>
        </w:rPr>
        <w:t>s</w:t>
      </w:r>
      <w:r w:rsidR="009072DB" w:rsidRPr="00071942">
        <w:rPr>
          <w:color w:val="000000" w:themeColor="text1"/>
          <w:lang w:val="en-US"/>
        </w:rPr>
        <w:t>trong sales in the main countries of the area, excluding UK, Belgium and Israel whose sales resulted in line wit</w:t>
      </w:r>
      <w:r w:rsidR="00866117" w:rsidRPr="00071942">
        <w:rPr>
          <w:color w:val="000000" w:themeColor="text1"/>
          <w:lang w:val="en-US"/>
        </w:rPr>
        <w:t>h the first nine months of 2012</w:t>
      </w:r>
      <w:r w:rsidR="009072DB" w:rsidRPr="00071942">
        <w:rPr>
          <w:color w:val="000000" w:themeColor="text1"/>
          <w:lang w:val="en-US"/>
        </w:rPr>
        <w:t>, net of the decrease in Vitamin D sales.</w:t>
      </w:r>
    </w:p>
    <w:p w:rsidR="00365974" w:rsidRDefault="00365974" w:rsidP="009072DB">
      <w:pPr>
        <w:spacing w:before="240" w:line="240" w:lineRule="atLeast"/>
        <w:ind w:right="-54"/>
        <w:jc w:val="both"/>
        <w:rPr>
          <w:i/>
          <w:lang w:val="en-US"/>
        </w:rPr>
      </w:pPr>
    </w:p>
    <w:p w:rsidR="0087088B" w:rsidRDefault="0087088B" w:rsidP="0087088B">
      <w:pPr>
        <w:spacing w:before="240" w:line="240" w:lineRule="atLeast"/>
        <w:ind w:right="-54"/>
        <w:jc w:val="both"/>
        <w:rPr>
          <w:i/>
          <w:lang w:val="en-US"/>
        </w:rPr>
      </w:pPr>
      <w:r>
        <w:rPr>
          <w:i/>
          <w:lang w:val="en-US"/>
        </w:rPr>
        <w:lastRenderedPageBreak/>
        <w:t>North America</w:t>
      </w:r>
    </w:p>
    <w:p w:rsidR="009072DB" w:rsidRPr="0087088B" w:rsidRDefault="009072DB" w:rsidP="0087088B">
      <w:pPr>
        <w:spacing w:before="240" w:line="240" w:lineRule="atLeast"/>
        <w:ind w:right="-54"/>
        <w:jc w:val="both"/>
        <w:rPr>
          <w:i/>
          <w:lang w:val="en-US"/>
        </w:rPr>
      </w:pPr>
      <w:r w:rsidRPr="009C238A">
        <w:rPr>
          <w:color w:val="000000" w:themeColor="text1"/>
          <w:lang w:val="en-US"/>
        </w:rPr>
        <w:t>In the first nine months of 2013, the North America sales region reported revenues of 80,254 thousand euros, down 14.1% at constant exchange rates compared with the first nine months of 2012 (-16.5%</w:t>
      </w:r>
      <w:r w:rsidRPr="009C238A">
        <w:rPr>
          <w:b/>
          <w:bCs/>
          <w:color w:val="000000" w:themeColor="text1"/>
          <w:lang w:val="en-US"/>
        </w:rPr>
        <w:t xml:space="preserve"> </w:t>
      </w:r>
      <w:r w:rsidRPr="009C238A">
        <w:rPr>
          <w:bCs/>
          <w:color w:val="000000" w:themeColor="text1"/>
          <w:lang w:val="en-US"/>
        </w:rPr>
        <w:t>at current exchange rates</w:t>
      </w:r>
      <w:r w:rsidRPr="00365974">
        <w:rPr>
          <w:bCs/>
          <w:color w:val="000000" w:themeColor="text1"/>
          <w:lang w:val="en-US"/>
        </w:rPr>
        <w:t>)</w:t>
      </w:r>
      <w:r w:rsidRPr="009C238A">
        <w:rPr>
          <w:color w:val="000000" w:themeColor="text1"/>
          <w:lang w:val="en-US"/>
        </w:rPr>
        <w:t>. This change reflects two opposing phenomena:</w:t>
      </w:r>
    </w:p>
    <w:p w:rsidR="009072DB" w:rsidRPr="009C238A" w:rsidRDefault="001964D9" w:rsidP="004143E5">
      <w:pPr>
        <w:pStyle w:val="Paragrafoelenco"/>
        <w:numPr>
          <w:ilvl w:val="0"/>
          <w:numId w:val="12"/>
        </w:numPr>
        <w:spacing w:before="160" w:line="240" w:lineRule="atLeast"/>
        <w:ind w:right="-58"/>
        <w:jc w:val="both"/>
        <w:rPr>
          <w:color w:val="000000" w:themeColor="text1"/>
          <w:lang w:val="en-US"/>
        </w:rPr>
      </w:pPr>
      <w:r>
        <w:rPr>
          <w:color w:val="000000" w:themeColor="text1"/>
          <w:lang w:val="en-US"/>
        </w:rPr>
        <w:t>t</w:t>
      </w:r>
      <w:r w:rsidR="009072DB" w:rsidRPr="009C238A">
        <w:rPr>
          <w:color w:val="000000" w:themeColor="text1"/>
          <w:lang w:val="en-US"/>
        </w:rPr>
        <w:t xml:space="preserve">he </w:t>
      </w:r>
      <w:r>
        <w:rPr>
          <w:color w:val="000000" w:themeColor="text1"/>
          <w:lang w:val="en-US"/>
        </w:rPr>
        <w:t>good</w:t>
      </w:r>
      <w:r w:rsidR="009072DB" w:rsidRPr="009C238A">
        <w:rPr>
          <w:color w:val="000000" w:themeColor="text1"/>
          <w:lang w:val="en-US"/>
        </w:rPr>
        <w:t xml:space="preserve"> performance of CLIA specialties with a gain of 21.2 pe</w:t>
      </w:r>
      <w:r>
        <w:rPr>
          <w:color w:val="000000" w:themeColor="text1"/>
          <w:lang w:val="en-US"/>
        </w:rPr>
        <w:t>r</w:t>
      </w:r>
      <w:r w:rsidR="009072DB" w:rsidRPr="009C238A">
        <w:rPr>
          <w:color w:val="000000" w:themeColor="text1"/>
          <w:lang w:val="en-US"/>
        </w:rPr>
        <w:t>centage points at constant exchange rates (+17.9% at current exchange rates) through mainly Infectiology and Prenatal Screening product families;</w:t>
      </w:r>
    </w:p>
    <w:p w:rsidR="009072DB" w:rsidRPr="009C238A" w:rsidRDefault="009072DB" w:rsidP="004143E5">
      <w:pPr>
        <w:pStyle w:val="Paragrafoelenco"/>
        <w:numPr>
          <w:ilvl w:val="0"/>
          <w:numId w:val="12"/>
        </w:numPr>
        <w:spacing w:before="160" w:line="240" w:lineRule="atLeast"/>
        <w:ind w:right="-58"/>
        <w:jc w:val="both"/>
        <w:rPr>
          <w:color w:val="000000" w:themeColor="text1"/>
          <w:lang w:val="en-US"/>
        </w:rPr>
      </w:pPr>
      <w:r w:rsidRPr="009C238A">
        <w:rPr>
          <w:color w:val="000000" w:themeColor="text1"/>
          <w:lang w:val="en-US"/>
        </w:rPr>
        <w:t>the downward trend in Vitamin D sales (-18.1% at constant exchange rates, -20.4% at current exchange rates) driven by a reduction in selling price. It should be noted that this phenomenon slowed down at the end of the first nine months of 2013, as previously stated.</w:t>
      </w:r>
    </w:p>
    <w:p w:rsidR="009072DB" w:rsidRPr="009C238A" w:rsidRDefault="009072DB" w:rsidP="009072DB">
      <w:pPr>
        <w:pStyle w:val="Paragrafoelenco"/>
        <w:spacing w:before="60" w:line="240" w:lineRule="atLeast"/>
        <w:ind w:left="720" w:right="-58"/>
        <w:jc w:val="both"/>
        <w:rPr>
          <w:color w:val="000000" w:themeColor="text1"/>
          <w:lang w:val="en-US"/>
        </w:rPr>
      </w:pPr>
    </w:p>
    <w:p w:rsidR="0087088B" w:rsidRDefault="0087088B" w:rsidP="0087088B">
      <w:pPr>
        <w:spacing w:before="240" w:line="240" w:lineRule="atLeast"/>
        <w:ind w:right="-54"/>
        <w:jc w:val="both"/>
        <w:rPr>
          <w:bCs/>
          <w:i/>
          <w:lang w:val="en-US"/>
        </w:rPr>
      </w:pPr>
      <w:r>
        <w:rPr>
          <w:bCs/>
          <w:i/>
          <w:lang w:val="en-US"/>
        </w:rPr>
        <w:t xml:space="preserve">Asia Pacific </w:t>
      </w:r>
    </w:p>
    <w:p w:rsidR="009072DB" w:rsidRPr="0087088B" w:rsidRDefault="009072DB" w:rsidP="0087088B">
      <w:pPr>
        <w:spacing w:before="240" w:line="240" w:lineRule="atLeast"/>
        <w:ind w:right="-54"/>
        <w:jc w:val="both"/>
        <w:rPr>
          <w:bCs/>
          <w:i/>
          <w:lang w:val="en-US"/>
        </w:rPr>
      </w:pPr>
      <w:r w:rsidRPr="009C238A">
        <w:rPr>
          <w:bCs/>
          <w:color w:val="000000" w:themeColor="text1"/>
          <w:lang w:val="en-US"/>
        </w:rPr>
        <w:t xml:space="preserve">In the first nine months of 2013, revenues of </w:t>
      </w:r>
      <w:r w:rsidRPr="009C238A">
        <w:rPr>
          <w:color w:val="000000" w:themeColor="text1"/>
          <w:lang w:val="en-US"/>
        </w:rPr>
        <w:t>the Asia Pacific sales region amounted to 50,830 thousand euros, up by 14.4% at constant exchange rates (+12.2% or 5,511 thousand euros at current exchange rates), compared with the same period in 2012.</w:t>
      </w:r>
    </w:p>
    <w:p w:rsidR="009072DB" w:rsidRPr="009C238A" w:rsidRDefault="009072DB" w:rsidP="009072DB">
      <w:pPr>
        <w:pStyle w:val="Testodelblocco"/>
        <w:tabs>
          <w:tab w:val="left" w:pos="360"/>
        </w:tabs>
        <w:ind w:left="0" w:right="0"/>
        <w:rPr>
          <w:lang w:val="en-US" w:eastAsia="it-IT"/>
        </w:rPr>
      </w:pPr>
    </w:p>
    <w:p w:rsidR="009072DB" w:rsidRPr="009C238A" w:rsidRDefault="009072DB" w:rsidP="009072DB">
      <w:pPr>
        <w:pStyle w:val="Testodelblocco"/>
        <w:tabs>
          <w:tab w:val="left" w:pos="360"/>
        </w:tabs>
        <w:ind w:left="0" w:right="0"/>
        <w:rPr>
          <w:lang w:val="en-US" w:eastAsia="it-IT"/>
        </w:rPr>
      </w:pPr>
      <w:r w:rsidRPr="009C238A">
        <w:rPr>
          <w:color w:val="000000" w:themeColor="text1"/>
          <w:lang w:val="en-US"/>
        </w:rPr>
        <w:t>This situation is the net result of</w:t>
      </w:r>
      <w:r w:rsidRPr="009C238A">
        <w:rPr>
          <w:lang w:val="en-US" w:eastAsia="it-IT"/>
        </w:rPr>
        <w:t>:</w:t>
      </w:r>
    </w:p>
    <w:p w:rsidR="009072DB" w:rsidRPr="009C238A" w:rsidRDefault="009072DB" w:rsidP="004143E5">
      <w:pPr>
        <w:pStyle w:val="Paragrafoelenco"/>
        <w:numPr>
          <w:ilvl w:val="0"/>
          <w:numId w:val="7"/>
        </w:numPr>
        <w:tabs>
          <w:tab w:val="left" w:pos="709"/>
        </w:tabs>
        <w:spacing w:before="160" w:line="240" w:lineRule="atLeast"/>
        <w:ind w:left="720" w:right="-54" w:hanging="432"/>
        <w:jc w:val="both"/>
        <w:rPr>
          <w:lang w:val="en-US"/>
        </w:rPr>
      </w:pPr>
      <w:r w:rsidRPr="009C238A">
        <w:rPr>
          <w:color w:val="000000" w:themeColor="text1"/>
          <w:lang w:val="en-US"/>
        </w:rPr>
        <w:t xml:space="preserve">the good performance of the Chinese subsidiary, with revenues increased by 14.7% at constant exchange rates (+14.5% at current exchange rates) on all CLIA products with a gain of 42.7%. </w:t>
      </w:r>
      <w:r w:rsidRPr="009C238A">
        <w:rPr>
          <w:rFonts w:eastAsia="Calibri"/>
          <w:color w:val="000000" w:themeColor="text1"/>
          <w:lang w:val="en-US"/>
        </w:rPr>
        <w:t>Noteworthy is the success of LIAISON XL automated analyzer, launched in December 2012.</w:t>
      </w:r>
      <w:r w:rsidRPr="009C238A">
        <w:rPr>
          <w:lang w:val="en-US"/>
        </w:rPr>
        <w:t xml:space="preserve"> </w:t>
      </w:r>
    </w:p>
    <w:p w:rsidR="009072DB" w:rsidRPr="009C238A" w:rsidRDefault="009072DB" w:rsidP="004143E5">
      <w:pPr>
        <w:pStyle w:val="Paragrafoelenco"/>
        <w:widowControl w:val="0"/>
        <w:numPr>
          <w:ilvl w:val="0"/>
          <w:numId w:val="7"/>
        </w:numPr>
        <w:autoSpaceDE w:val="0"/>
        <w:autoSpaceDN w:val="0"/>
        <w:adjustRightInd w:val="0"/>
        <w:spacing w:before="160"/>
        <w:ind w:left="720" w:hanging="432"/>
        <w:jc w:val="both"/>
        <w:rPr>
          <w:color w:val="000000" w:themeColor="text1"/>
          <w:lang w:val="en-US"/>
        </w:rPr>
      </w:pPr>
      <w:r w:rsidRPr="009C238A">
        <w:rPr>
          <w:color w:val="000000" w:themeColor="text1"/>
          <w:lang w:val="en-US"/>
        </w:rPr>
        <w:t xml:space="preserve">sales growth in the Australian market (+33% at constant exchange rates, +22.2% at current exchange rates), due to Vitamin D revenues recovery and diversification of catalog, that led to higher revenues related to CLIA products (which almost tripled). </w:t>
      </w:r>
    </w:p>
    <w:p w:rsidR="009072DB" w:rsidRPr="009C238A" w:rsidRDefault="009072DB" w:rsidP="004143E5">
      <w:pPr>
        <w:pStyle w:val="Paragrafoelenco"/>
        <w:widowControl w:val="0"/>
        <w:numPr>
          <w:ilvl w:val="0"/>
          <w:numId w:val="7"/>
        </w:numPr>
        <w:autoSpaceDE w:val="0"/>
        <w:autoSpaceDN w:val="0"/>
        <w:adjustRightInd w:val="0"/>
        <w:spacing w:before="160"/>
        <w:ind w:left="720" w:hanging="432"/>
        <w:jc w:val="both"/>
        <w:rPr>
          <w:color w:val="000000" w:themeColor="text1"/>
          <w:lang w:val="en-US"/>
        </w:rPr>
      </w:pPr>
      <w:r w:rsidRPr="009C238A">
        <w:rPr>
          <w:color w:val="000000" w:themeColor="text1"/>
          <w:lang w:val="en-US"/>
        </w:rPr>
        <w:t xml:space="preserve">Steady growth of revenues generated through distributors in markets where the Group does not have a direct presence. </w:t>
      </w:r>
    </w:p>
    <w:p w:rsidR="009072DB" w:rsidRPr="00E26C2A" w:rsidRDefault="009072DB" w:rsidP="00E26C2A">
      <w:pPr>
        <w:pStyle w:val="Paragrafoelenco"/>
        <w:spacing w:before="60" w:line="240" w:lineRule="atLeast"/>
        <w:ind w:left="720" w:right="-58"/>
        <w:jc w:val="both"/>
        <w:rPr>
          <w:color w:val="000000" w:themeColor="text1"/>
          <w:lang w:val="en-US"/>
        </w:rPr>
      </w:pPr>
    </w:p>
    <w:p w:rsidR="009072DB" w:rsidRPr="009C238A" w:rsidRDefault="009072DB" w:rsidP="009072DB">
      <w:pPr>
        <w:spacing w:before="240" w:line="240" w:lineRule="atLeast"/>
        <w:ind w:right="-54"/>
        <w:jc w:val="both"/>
        <w:rPr>
          <w:i/>
          <w:lang w:val="en-US"/>
        </w:rPr>
      </w:pPr>
      <w:r w:rsidRPr="009C238A">
        <w:rPr>
          <w:i/>
          <w:lang w:val="en-US"/>
        </w:rPr>
        <w:t>Central and South America</w:t>
      </w:r>
    </w:p>
    <w:p w:rsidR="009072DB" w:rsidRPr="009C238A" w:rsidRDefault="009072DB" w:rsidP="009072DB">
      <w:pPr>
        <w:tabs>
          <w:tab w:val="left" w:pos="2430"/>
        </w:tabs>
        <w:spacing w:before="240" w:line="240" w:lineRule="atLeast"/>
        <w:ind w:right="-54"/>
        <w:jc w:val="both"/>
        <w:rPr>
          <w:color w:val="000000" w:themeColor="text1"/>
          <w:lang w:val="en-US"/>
        </w:rPr>
      </w:pPr>
      <w:r w:rsidRPr="009C238A">
        <w:rPr>
          <w:color w:val="000000" w:themeColor="text1"/>
          <w:lang w:val="en-US"/>
        </w:rPr>
        <w:t>In the first nine months of 2013, the Latin American sales region booked re</w:t>
      </w:r>
      <w:r w:rsidR="00AF650F">
        <w:rPr>
          <w:color w:val="000000" w:themeColor="text1"/>
          <w:lang w:val="en-US"/>
        </w:rPr>
        <w:t>venues of 37,168 thousand euros</w:t>
      </w:r>
      <w:r w:rsidRPr="009C238A">
        <w:rPr>
          <w:color w:val="000000" w:themeColor="text1"/>
          <w:lang w:val="en-US"/>
        </w:rPr>
        <w:t>, up by 17.5 percentage points at constant exchange rates  (+8.7% at current exchange rates) compared with 34,199 thousand euros in the same period of 2012. This change is mainly attributable to:</w:t>
      </w:r>
    </w:p>
    <w:p w:rsidR="009072DB" w:rsidRPr="009C238A" w:rsidRDefault="009072DB" w:rsidP="004143E5">
      <w:pPr>
        <w:pStyle w:val="Paragrafoelenco"/>
        <w:numPr>
          <w:ilvl w:val="0"/>
          <w:numId w:val="6"/>
        </w:numPr>
        <w:tabs>
          <w:tab w:val="left" w:pos="2430"/>
        </w:tabs>
        <w:spacing w:before="160" w:line="240" w:lineRule="atLeast"/>
        <w:ind w:left="720" w:right="-58" w:hanging="432"/>
        <w:jc w:val="both"/>
        <w:rPr>
          <w:color w:val="000000" w:themeColor="text1"/>
          <w:lang w:val="en-US"/>
        </w:rPr>
      </w:pPr>
      <w:r w:rsidRPr="009C238A">
        <w:rPr>
          <w:color w:val="000000" w:themeColor="text1"/>
          <w:lang w:val="en-US"/>
        </w:rPr>
        <w:t>the performance of the Brazilian subsidiary (+14.5% at constant exchange rates and substantially in line at current exchange rates), as a result of the upward trend in CLIA sales (+16.2%) and instruments and consumables sale;</w:t>
      </w:r>
    </w:p>
    <w:p w:rsidR="009072DB" w:rsidRPr="009C238A" w:rsidRDefault="009072DB" w:rsidP="004143E5">
      <w:pPr>
        <w:pStyle w:val="Paragrafoelenco"/>
        <w:numPr>
          <w:ilvl w:val="0"/>
          <w:numId w:val="6"/>
        </w:numPr>
        <w:tabs>
          <w:tab w:val="left" w:pos="2430"/>
        </w:tabs>
        <w:spacing w:before="160" w:line="240" w:lineRule="atLeast"/>
        <w:ind w:left="720" w:right="-58" w:hanging="432"/>
        <w:jc w:val="both"/>
        <w:rPr>
          <w:color w:val="000000" w:themeColor="text1"/>
          <w:lang w:val="en-US"/>
        </w:rPr>
      </w:pPr>
      <w:r w:rsidRPr="009C238A">
        <w:rPr>
          <w:color w:val="000000" w:themeColor="text1"/>
          <w:lang w:val="en-US"/>
        </w:rPr>
        <w:t>the performance of the network of the Group’s distributors, (+31.7% compared with the first nine months of 2012) in countries where the Group does not have a direct presence. In this area, strong instruments sales reported in December 2012, are now enjoying routine activity levels, generating a steady and growing revenue stream from the sale of reagents (+24.9%);</w:t>
      </w:r>
    </w:p>
    <w:p w:rsidR="009072DB" w:rsidRPr="009C238A" w:rsidRDefault="009072DB" w:rsidP="004143E5">
      <w:pPr>
        <w:pStyle w:val="Paragrafoelenco"/>
        <w:numPr>
          <w:ilvl w:val="0"/>
          <w:numId w:val="6"/>
        </w:numPr>
        <w:tabs>
          <w:tab w:val="left" w:pos="709"/>
        </w:tabs>
        <w:spacing w:before="160" w:line="240" w:lineRule="atLeast"/>
        <w:ind w:left="720" w:right="-58" w:hanging="432"/>
        <w:jc w:val="both"/>
        <w:rPr>
          <w:lang w:val="en-US"/>
        </w:rPr>
      </w:pPr>
      <w:r w:rsidRPr="009C238A">
        <w:rPr>
          <w:color w:val="000000" w:themeColor="text1"/>
          <w:lang w:val="en-US"/>
        </w:rPr>
        <w:t xml:space="preserve">the performance of the Mexican subsidiary </w:t>
      </w:r>
      <w:r w:rsidRPr="009C238A">
        <w:rPr>
          <w:lang w:val="en-US"/>
        </w:rPr>
        <w:t>(</w:t>
      </w:r>
      <w:r w:rsidR="008C78D4">
        <w:rPr>
          <w:lang w:val="en-US"/>
        </w:rPr>
        <w:t>+</w:t>
      </w:r>
      <w:r w:rsidRPr="009C238A">
        <w:rPr>
          <w:lang w:val="en-US"/>
        </w:rPr>
        <w:t xml:space="preserve">2.5% </w:t>
      </w:r>
      <w:r w:rsidRPr="009C238A">
        <w:rPr>
          <w:color w:val="000000" w:themeColor="text1"/>
          <w:lang w:val="en-US"/>
        </w:rPr>
        <w:t>at constant exchange rates</w:t>
      </w:r>
      <w:r w:rsidRPr="009C238A">
        <w:rPr>
          <w:lang w:val="en-US"/>
        </w:rPr>
        <w:t xml:space="preserve">, +4% </w:t>
      </w:r>
      <w:r w:rsidRPr="009C238A">
        <w:rPr>
          <w:color w:val="000000" w:themeColor="text1"/>
          <w:lang w:val="en-US"/>
        </w:rPr>
        <w:t>at current exchange rates</w:t>
      </w:r>
      <w:r w:rsidRPr="009C238A">
        <w:rPr>
          <w:lang w:val="en-US"/>
        </w:rPr>
        <w:t>).</w:t>
      </w:r>
    </w:p>
    <w:p w:rsidR="009072DB" w:rsidRPr="009C238A" w:rsidRDefault="009072DB" w:rsidP="009072DB">
      <w:pPr>
        <w:spacing w:before="240" w:after="240" w:line="240" w:lineRule="atLeast"/>
        <w:ind w:right="-54"/>
        <w:jc w:val="both"/>
        <w:rPr>
          <w:b/>
          <w:i/>
          <w:color w:val="000000" w:themeColor="text1"/>
          <w:lang w:val="en-US"/>
        </w:rPr>
      </w:pPr>
      <w:r w:rsidRPr="009C238A">
        <w:rPr>
          <w:rFonts w:eastAsia="Arial Unicode MS"/>
          <w:b/>
          <w:i/>
          <w:color w:val="000000" w:themeColor="text1"/>
          <w:lang w:val="en-US"/>
        </w:rPr>
        <w:lastRenderedPageBreak/>
        <w:t>Breakdown of revenues by technology</w:t>
      </w:r>
      <w:r w:rsidRPr="009C238A">
        <w:rPr>
          <w:b/>
          <w:i/>
          <w:color w:val="000000" w:themeColor="text1"/>
          <w:lang w:val="en-US"/>
        </w:rPr>
        <w:t xml:space="preserve"> </w:t>
      </w:r>
    </w:p>
    <w:p w:rsidR="009072DB" w:rsidRPr="009C238A" w:rsidRDefault="009072DB" w:rsidP="009072DB">
      <w:pPr>
        <w:spacing w:before="240" w:after="240" w:line="240" w:lineRule="atLeast"/>
        <w:ind w:right="-54"/>
        <w:jc w:val="both"/>
        <w:rPr>
          <w:color w:val="000000" w:themeColor="text1"/>
          <w:lang w:val="en-US"/>
        </w:rPr>
      </w:pPr>
      <w:r w:rsidRPr="009C238A">
        <w:rPr>
          <w:color w:val="000000" w:themeColor="text1"/>
          <w:lang w:val="en-US"/>
        </w:rPr>
        <w:t xml:space="preserve">The tables that follow show the percentage of the Group’s consolidated revenues contributed by each technology in the first nine months of 2013 and 2012. </w:t>
      </w:r>
    </w:p>
    <w:tbl>
      <w:tblPr>
        <w:tblW w:w="5000" w:type="pct"/>
        <w:tblCellMar>
          <w:left w:w="70" w:type="dxa"/>
          <w:right w:w="70" w:type="dxa"/>
        </w:tblCellMar>
        <w:tblLook w:val="00A0"/>
      </w:tblPr>
      <w:tblGrid>
        <w:gridCol w:w="5219"/>
        <w:gridCol w:w="2280"/>
        <w:gridCol w:w="2280"/>
      </w:tblGrid>
      <w:tr w:rsidR="009072DB" w:rsidRPr="009C238A" w:rsidTr="009072DB">
        <w:trPr>
          <w:trHeight w:val="510"/>
        </w:trPr>
        <w:tc>
          <w:tcPr>
            <w:tcW w:w="2668" w:type="pct"/>
            <w:tcBorders>
              <w:top w:val="single" w:sz="4" w:space="0" w:color="auto"/>
              <w:left w:val="nil"/>
              <w:bottom w:val="single" w:sz="4" w:space="0" w:color="auto"/>
              <w:right w:val="nil"/>
            </w:tcBorders>
            <w:vAlign w:val="center"/>
          </w:tcPr>
          <w:p w:rsidR="009072DB" w:rsidRPr="009C238A" w:rsidRDefault="009072DB" w:rsidP="009072DB">
            <w:pPr>
              <w:rPr>
                <w:i/>
                <w:iCs/>
                <w:sz w:val="20"/>
                <w:szCs w:val="20"/>
                <w:lang w:val="en-US"/>
              </w:rPr>
            </w:pPr>
            <w:r w:rsidRPr="009C238A">
              <w:rPr>
                <w:i/>
                <w:iCs/>
                <w:color w:val="000000" w:themeColor="text1"/>
                <w:sz w:val="20"/>
                <w:szCs w:val="20"/>
                <w:lang w:val="en-US"/>
              </w:rPr>
              <w:t>% of revenues contributed</w:t>
            </w:r>
          </w:p>
        </w:tc>
        <w:tc>
          <w:tcPr>
            <w:tcW w:w="1166"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 xml:space="preserve">First nine months </w:t>
            </w:r>
            <w:r w:rsidRPr="009C238A">
              <w:rPr>
                <w:b/>
                <w:bCs/>
                <w:sz w:val="20"/>
                <w:szCs w:val="20"/>
                <w:lang w:val="en-US"/>
              </w:rPr>
              <w:br/>
              <w:t>2013</w:t>
            </w:r>
          </w:p>
        </w:tc>
        <w:tc>
          <w:tcPr>
            <w:tcW w:w="1166"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 xml:space="preserve">First nine months </w:t>
            </w:r>
            <w:r w:rsidRPr="009C238A">
              <w:rPr>
                <w:b/>
                <w:bCs/>
                <w:sz w:val="20"/>
                <w:szCs w:val="20"/>
                <w:lang w:val="en-US"/>
              </w:rPr>
              <w:br/>
              <w:t>2012</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RIA</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3.1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3.7 </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ELISA</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15.3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17.7 </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CLIA</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68.1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67.1 </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0"/>
                <w:szCs w:val="20"/>
                <w:lang w:val="en-US"/>
              </w:rPr>
            </w:pPr>
            <w:r w:rsidRPr="009C238A">
              <w:rPr>
                <w:sz w:val="20"/>
                <w:szCs w:val="20"/>
                <w:lang w:val="en-US"/>
              </w:rPr>
              <w:t>MOLECULAR</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0.8 </w:t>
            </w:r>
          </w:p>
        </w:tc>
        <w:tc>
          <w:tcPr>
            <w:tcW w:w="1166" w:type="pct"/>
            <w:tcBorders>
              <w:top w:val="nil"/>
              <w:left w:val="nil"/>
              <w:bottom w:val="nil"/>
              <w:right w:val="nil"/>
            </w:tcBorders>
            <w:noWrap/>
            <w:vAlign w:val="center"/>
          </w:tcPr>
          <w:p w:rsidR="009072DB" w:rsidRPr="009C238A" w:rsidRDefault="009072DB" w:rsidP="00D76834">
            <w:pPr>
              <w:jc w:val="right"/>
              <w:rPr>
                <w:sz w:val="20"/>
                <w:szCs w:val="20"/>
                <w:lang w:val="en-US"/>
              </w:rPr>
            </w:pPr>
            <w:r w:rsidRPr="009C238A">
              <w:rPr>
                <w:sz w:val="20"/>
                <w:szCs w:val="20"/>
                <w:lang w:val="en-US"/>
              </w:rPr>
              <w:t xml:space="preserve">                  0.</w:t>
            </w:r>
            <w:r w:rsidR="00D76834">
              <w:rPr>
                <w:sz w:val="20"/>
                <w:szCs w:val="20"/>
                <w:lang w:val="en-US"/>
              </w:rPr>
              <w:t>4</w:t>
            </w:r>
            <w:r w:rsidRPr="009C238A">
              <w:rPr>
                <w:sz w:val="20"/>
                <w:szCs w:val="20"/>
                <w:lang w:val="en-US"/>
              </w:rPr>
              <w:t xml:space="preserve"> </w:t>
            </w:r>
          </w:p>
        </w:tc>
      </w:tr>
      <w:tr w:rsidR="009072DB" w:rsidRPr="009C238A" w:rsidTr="009072DB">
        <w:trPr>
          <w:trHeight w:val="255"/>
        </w:trPr>
        <w:tc>
          <w:tcPr>
            <w:tcW w:w="2668" w:type="pct"/>
            <w:tcBorders>
              <w:top w:val="nil"/>
              <w:left w:val="nil"/>
              <w:bottom w:val="nil"/>
              <w:right w:val="nil"/>
            </w:tcBorders>
            <w:vAlign w:val="center"/>
          </w:tcPr>
          <w:p w:rsidR="009072DB" w:rsidRPr="009C238A" w:rsidRDefault="009072DB" w:rsidP="009072DB">
            <w:pPr>
              <w:rPr>
                <w:sz w:val="22"/>
                <w:szCs w:val="22"/>
                <w:lang w:val="en-US"/>
              </w:rPr>
            </w:pPr>
            <w:r w:rsidRPr="009C238A">
              <w:rPr>
                <w:color w:val="000000" w:themeColor="text1"/>
                <w:sz w:val="22"/>
                <w:szCs w:val="22"/>
                <w:lang w:val="en-US"/>
              </w:rPr>
              <w:t>Instruments sales and other revenues</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12.7 </w:t>
            </w:r>
          </w:p>
        </w:tc>
        <w:tc>
          <w:tcPr>
            <w:tcW w:w="1166"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 xml:space="preserve">                11.1 </w:t>
            </w:r>
          </w:p>
        </w:tc>
      </w:tr>
      <w:tr w:rsidR="009072DB" w:rsidRPr="009C238A" w:rsidTr="009072DB">
        <w:trPr>
          <w:trHeight w:val="255"/>
        </w:trPr>
        <w:tc>
          <w:tcPr>
            <w:tcW w:w="2668"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sz w:val="20"/>
                <w:szCs w:val="20"/>
                <w:lang w:val="en-US"/>
              </w:rPr>
              <w:t>Total</w:t>
            </w:r>
          </w:p>
        </w:tc>
        <w:tc>
          <w:tcPr>
            <w:tcW w:w="1166"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 xml:space="preserve">             100.0 </w:t>
            </w:r>
          </w:p>
        </w:tc>
        <w:tc>
          <w:tcPr>
            <w:tcW w:w="1166"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 xml:space="preserve">             100.0 </w:t>
            </w:r>
          </w:p>
        </w:tc>
      </w:tr>
    </w:tbl>
    <w:p w:rsidR="009072DB" w:rsidRPr="009C238A" w:rsidRDefault="00C463A7" w:rsidP="009072DB">
      <w:pPr>
        <w:spacing w:before="240" w:after="240" w:line="240" w:lineRule="atLeast"/>
        <w:ind w:right="-54"/>
        <w:jc w:val="center"/>
        <w:rPr>
          <w:lang w:val="en-US"/>
        </w:rPr>
      </w:pPr>
      <w:r w:rsidRPr="00C463A7">
        <w:rPr>
          <w:noProof/>
          <w:lang w:val="en-US" w:eastAsia="en-US"/>
        </w:rPr>
        <w:drawing>
          <wp:inline distT="0" distB="0" distL="0" distR="0">
            <wp:extent cx="6120765" cy="183496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1834960"/>
                    </a:xfrm>
                    <a:prstGeom prst="rect">
                      <a:avLst/>
                    </a:prstGeom>
                    <a:noFill/>
                    <a:ln>
                      <a:noFill/>
                    </a:ln>
                  </pic:spPr>
                </pic:pic>
              </a:graphicData>
            </a:graphic>
          </wp:inline>
        </w:drawing>
      </w:r>
    </w:p>
    <w:p w:rsidR="00C463A7" w:rsidRDefault="00C463A7" w:rsidP="009072DB">
      <w:pPr>
        <w:spacing w:before="240" w:line="240" w:lineRule="atLeast"/>
        <w:ind w:right="-54"/>
        <w:jc w:val="both"/>
        <w:rPr>
          <w:color w:val="000000" w:themeColor="text1"/>
          <w:lang w:val="en-US"/>
        </w:rPr>
      </w:pP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 xml:space="preserve">In the first nine months of 2013, </w:t>
      </w:r>
      <w:r w:rsidRPr="009C238A">
        <w:rPr>
          <w:color w:val="000000" w:themeColor="text1"/>
          <w:sz w:val="23"/>
          <w:szCs w:val="23"/>
          <w:lang w:val="en-US"/>
        </w:rPr>
        <w:t>the percentage of total revenues provided by CLIA products slightly increased compared with 2012.  Revenues generated by instruments sales equal to +16.7% at constant exchange rates (+13.4% at current exchange rates), producing an increase of 1.5 percentage points</w:t>
      </w:r>
      <w:r w:rsidR="00CB35FD">
        <w:rPr>
          <w:color w:val="000000" w:themeColor="text1"/>
          <w:sz w:val="23"/>
          <w:szCs w:val="23"/>
          <w:lang w:val="en-US"/>
        </w:rPr>
        <w:t xml:space="preserve"> on total revenues</w:t>
      </w:r>
      <w:r w:rsidRPr="009C238A">
        <w:rPr>
          <w:color w:val="000000" w:themeColor="text1"/>
          <w:sz w:val="23"/>
          <w:szCs w:val="23"/>
          <w:lang w:val="en-US"/>
        </w:rPr>
        <w:t xml:space="preserve">, contrasted the decrease in Vitamin D sale (almost completely offset by the growth in CLIA ex Vitamin D revenues); instruments sales will have a positive impact on revenues generated by reagents in the next months. </w:t>
      </w:r>
      <w:r w:rsidRPr="009C238A">
        <w:rPr>
          <w:color w:val="000000" w:themeColor="text1"/>
          <w:lang w:val="en-US"/>
        </w:rPr>
        <w:t>The data in the table reflect the steady physiological decline of the contribution provided by the RIA and ELISA technologies.</w:t>
      </w:r>
    </w:p>
    <w:p w:rsidR="009072DB" w:rsidRPr="009C238A" w:rsidRDefault="009072DB" w:rsidP="009072DB">
      <w:pPr>
        <w:spacing w:before="240" w:line="240" w:lineRule="atLeast"/>
        <w:ind w:right="-54"/>
        <w:jc w:val="both"/>
        <w:rPr>
          <w:color w:val="000000" w:themeColor="text1"/>
          <w:lang w:val="en-US"/>
        </w:rPr>
      </w:pPr>
    </w:p>
    <w:p w:rsidR="009072DB" w:rsidRPr="009C238A" w:rsidRDefault="009072DB" w:rsidP="009072DB">
      <w:pPr>
        <w:spacing w:before="240" w:line="240" w:lineRule="atLeast"/>
        <w:ind w:right="-54"/>
        <w:jc w:val="both"/>
        <w:rPr>
          <w:color w:val="000000" w:themeColor="text1"/>
          <w:lang w:val="en-US"/>
        </w:rPr>
      </w:pPr>
    </w:p>
    <w:p w:rsidR="009072DB" w:rsidRPr="009C238A" w:rsidRDefault="009072DB" w:rsidP="009072DB">
      <w:pPr>
        <w:spacing w:before="240" w:line="240" w:lineRule="atLeast"/>
        <w:ind w:right="-54"/>
        <w:jc w:val="both"/>
        <w:rPr>
          <w:color w:val="000000" w:themeColor="text1"/>
          <w:lang w:val="en-US"/>
        </w:rPr>
      </w:pPr>
    </w:p>
    <w:p w:rsidR="009072DB" w:rsidRPr="009C238A" w:rsidRDefault="009072DB" w:rsidP="009072DB">
      <w:pPr>
        <w:spacing w:before="240" w:line="240" w:lineRule="atLeast"/>
        <w:ind w:right="-54"/>
        <w:jc w:val="both"/>
        <w:rPr>
          <w:color w:val="000000" w:themeColor="text1"/>
          <w:lang w:val="en-US"/>
        </w:rPr>
      </w:pPr>
    </w:p>
    <w:p w:rsidR="009072DB" w:rsidRPr="009C238A" w:rsidRDefault="009072DB" w:rsidP="009072DB">
      <w:pPr>
        <w:spacing w:before="240" w:line="240" w:lineRule="atLeast"/>
        <w:ind w:right="-54"/>
        <w:jc w:val="both"/>
        <w:rPr>
          <w:b/>
          <w:lang w:val="en-US"/>
        </w:rPr>
      </w:pPr>
    </w:p>
    <w:p w:rsidR="00CB35FD" w:rsidRDefault="00CB35FD">
      <w:pPr>
        <w:rPr>
          <w:b/>
          <w:lang w:val="en-US"/>
        </w:rPr>
      </w:pPr>
      <w:r>
        <w:rPr>
          <w:b/>
          <w:lang w:val="en-US"/>
        </w:rPr>
        <w:br w:type="page"/>
      </w:r>
    </w:p>
    <w:p w:rsidR="009072DB" w:rsidRPr="009C238A" w:rsidRDefault="009072DB" w:rsidP="009072DB">
      <w:pPr>
        <w:spacing w:before="240" w:line="240" w:lineRule="atLeast"/>
        <w:ind w:right="-54"/>
        <w:jc w:val="both"/>
        <w:rPr>
          <w:b/>
          <w:lang w:val="en-US"/>
        </w:rPr>
      </w:pPr>
      <w:r w:rsidRPr="004A428D">
        <w:rPr>
          <w:b/>
          <w:lang w:val="en-US"/>
        </w:rPr>
        <w:lastRenderedPageBreak/>
        <w:t>Operating performance</w:t>
      </w:r>
    </w:p>
    <w:p w:rsidR="009072DB" w:rsidRPr="009C238A" w:rsidRDefault="009072DB" w:rsidP="009072DB">
      <w:pPr>
        <w:spacing w:before="240" w:line="240" w:lineRule="atLeast"/>
        <w:ind w:right="-54"/>
        <w:jc w:val="both"/>
        <w:rPr>
          <w:b/>
          <w:lang w:val="en-US"/>
        </w:rPr>
      </w:pPr>
    </w:p>
    <w:p w:rsidR="009072DB" w:rsidRPr="009C238A" w:rsidRDefault="009072DB" w:rsidP="009072DB">
      <w:pPr>
        <w:jc w:val="both"/>
        <w:rPr>
          <w:color w:val="000000" w:themeColor="text1"/>
          <w:lang w:val="en-US"/>
        </w:rPr>
      </w:pPr>
      <w:r w:rsidRPr="009C238A">
        <w:rPr>
          <w:color w:val="000000" w:themeColor="text1"/>
          <w:lang w:val="en-US"/>
        </w:rPr>
        <w:t>The evaluation of the Group’s operating performance in the first nine months of 2013 is in line with the expectations and trend booked in the previous quarters.</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In the first nine months of 2013, the gross profit amounted to 222,574 thousand euros, compared with 225,894 thousand euros in the same period in 2012. The ratio of gross profit to revenues equal to 68.7% decreased by 0.8% compared with 2012. This trend resulted from the different geographic sales mix of the periods under comparison.</w:t>
      </w:r>
    </w:p>
    <w:p w:rsidR="009072DB" w:rsidRPr="009C238A" w:rsidRDefault="009072DB" w:rsidP="009072DB">
      <w:pPr>
        <w:spacing w:before="240" w:after="240"/>
        <w:ind w:right="-54"/>
        <w:jc w:val="both"/>
        <w:rPr>
          <w:lang w:val="en-US"/>
        </w:rPr>
      </w:pPr>
      <w:r w:rsidRPr="009C238A">
        <w:rPr>
          <w:color w:val="000000" w:themeColor="text1"/>
          <w:lang w:val="en-US"/>
        </w:rPr>
        <w:t>In the first nine months of 2013, operating expenses totaled 116,952 thousand euros, up by 2.9 percentage points compared with the same period in 2012. The ratio of operating expenses to total revenues increased from 35% to 36.1%, as a result of the Molecular diagnostics business in start</w:t>
      </w:r>
      <w:r w:rsidR="0026633D">
        <w:rPr>
          <w:color w:val="000000" w:themeColor="text1"/>
          <w:lang w:val="en-US"/>
        </w:rPr>
        <w:t>-</w:t>
      </w:r>
      <w:r w:rsidRPr="009C238A">
        <w:rPr>
          <w:color w:val="000000" w:themeColor="text1"/>
          <w:lang w:val="en-US"/>
        </w:rPr>
        <w:t>up phase</w:t>
      </w:r>
      <w:r w:rsidRPr="009C238A">
        <w:rPr>
          <w:lang w:val="en-US"/>
        </w:rPr>
        <w:t xml:space="preserve"> and higher expenses related to the technical support for the growing installed base at customers facilities. </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 xml:space="preserve">Research and development costs rose by 2.1% compared with </w:t>
      </w:r>
      <w:r w:rsidR="00F44D72" w:rsidRPr="009C238A">
        <w:rPr>
          <w:color w:val="000000" w:themeColor="text1"/>
          <w:lang w:val="en-US"/>
        </w:rPr>
        <w:t xml:space="preserve">the same period in </w:t>
      </w:r>
      <w:r w:rsidRPr="009C238A">
        <w:rPr>
          <w:color w:val="000000" w:themeColor="text1"/>
          <w:lang w:val="en-US"/>
        </w:rPr>
        <w:t>2012 and refer mainly to activities concerning the development of molecular diagnostics new products. In the first nine months of 2013, the ratio of research and development costs to revenues rose from 5.3 percentage points in first nine months o</w:t>
      </w:r>
      <w:r w:rsidR="00682A58">
        <w:rPr>
          <w:color w:val="000000" w:themeColor="text1"/>
          <w:lang w:val="en-US"/>
        </w:rPr>
        <w:t>f 2012 to 5.5 percentage points in the first nine months of 2013.</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 xml:space="preserve">General and administrative expenses totaled 35,907 thousand euros, their ratio to total revenues </w:t>
      </w:r>
      <w:r w:rsidR="0065541F">
        <w:rPr>
          <w:color w:val="000000" w:themeColor="text1"/>
          <w:lang w:val="en-US"/>
        </w:rPr>
        <w:t xml:space="preserve">equal to 11.1 percentage points </w:t>
      </w:r>
      <w:r w:rsidRPr="009C238A">
        <w:rPr>
          <w:color w:val="000000" w:themeColor="text1"/>
          <w:lang w:val="en-US"/>
        </w:rPr>
        <w:t>( +1.1% compared with the first nine months of 2012).</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Other operating expenses equal to 4,324 thousand euros (3,077 thousand euros in the first nine months of 2012) inc</w:t>
      </w:r>
      <w:r w:rsidR="00C47AE7">
        <w:rPr>
          <w:color w:val="000000" w:themeColor="text1"/>
          <w:lang w:val="en-US"/>
        </w:rPr>
        <w:t>lude a negative translation effect</w:t>
      </w:r>
      <w:r w:rsidRPr="009C238A">
        <w:rPr>
          <w:color w:val="000000" w:themeColor="text1"/>
          <w:lang w:val="en-US"/>
        </w:rPr>
        <w:t xml:space="preserve"> of 1,399 thousand euros related to commercial items </w:t>
      </w:r>
      <w:r w:rsidR="00C47AE7">
        <w:rPr>
          <w:color w:val="000000" w:themeColor="text1"/>
          <w:lang w:val="en-US"/>
        </w:rPr>
        <w:t>(negative translation effect</w:t>
      </w:r>
      <w:r w:rsidRPr="009C238A">
        <w:rPr>
          <w:color w:val="000000" w:themeColor="text1"/>
          <w:lang w:val="en-US"/>
        </w:rPr>
        <w:t xml:space="preserve"> of 990 thousand euros in the same period of 2012), 508 thousand euros of additions for provisions to risks and allowances for doubtful accounts (</w:t>
      </w:r>
      <w:r w:rsidR="004A428D">
        <w:rPr>
          <w:color w:val="000000" w:themeColor="text1"/>
          <w:lang w:val="en-US"/>
        </w:rPr>
        <w:t xml:space="preserve">release of provisions for </w:t>
      </w:r>
      <w:r w:rsidRPr="009C238A">
        <w:rPr>
          <w:color w:val="000000" w:themeColor="text1"/>
          <w:lang w:val="en-US"/>
        </w:rPr>
        <w:t>912 thousand euros in the firs</w:t>
      </w:r>
      <w:r w:rsidR="00BD1F5E">
        <w:rPr>
          <w:color w:val="000000" w:themeColor="text1"/>
          <w:lang w:val="en-US"/>
        </w:rPr>
        <w:t>t nine months of 2012) and 1,583</w:t>
      </w:r>
      <w:r w:rsidRPr="009C238A">
        <w:rPr>
          <w:color w:val="000000" w:themeColor="text1"/>
          <w:lang w:val="en-US"/>
        </w:rPr>
        <w:t xml:space="preserve"> thousand euros in tax expenses (566 thousand euros in first nine month of 2012), including 729 thousand euros for the Medical Device Tax introduced in the United States in 2013.</w:t>
      </w:r>
    </w:p>
    <w:p w:rsidR="009072DB" w:rsidRPr="009C238A" w:rsidRDefault="00CE62DC" w:rsidP="009072DB">
      <w:pPr>
        <w:spacing w:before="240" w:after="240"/>
        <w:ind w:right="-54"/>
        <w:jc w:val="both"/>
        <w:rPr>
          <w:bCs/>
          <w:color w:val="000000" w:themeColor="text1"/>
          <w:lang w:val="en-US"/>
        </w:rPr>
      </w:pPr>
      <w:r>
        <w:rPr>
          <w:color w:val="000000" w:themeColor="text1"/>
          <w:lang w:val="en-US"/>
        </w:rPr>
        <w:t>EBITDA</w:t>
      </w:r>
      <w:r w:rsidR="009072DB" w:rsidRPr="009C238A">
        <w:rPr>
          <w:color w:val="000000" w:themeColor="text1"/>
          <w:lang w:val="en-US"/>
        </w:rPr>
        <w:t xml:space="preserve"> amounted to 122,501 thousand euros down by 6.2 percentage points compared with the same period last year. </w:t>
      </w:r>
      <w:r>
        <w:rPr>
          <w:color w:val="000000" w:themeColor="text1"/>
          <w:lang w:val="en-US"/>
        </w:rPr>
        <w:t>EBITDA</w:t>
      </w:r>
      <w:r w:rsidR="009072DB" w:rsidRPr="009C238A">
        <w:rPr>
          <w:color w:val="000000" w:themeColor="text1"/>
          <w:lang w:val="en-US"/>
        </w:rPr>
        <w:t xml:space="preserve"> incidence to revenues</w:t>
      </w:r>
      <w:r w:rsidR="009072DB" w:rsidRPr="009C238A">
        <w:rPr>
          <w:bCs/>
          <w:color w:val="000000" w:themeColor="text1"/>
          <w:lang w:val="en-US"/>
        </w:rPr>
        <w:t xml:space="preserve"> decreased from 40.2% in 2012 to 37.8% </w:t>
      </w:r>
      <w:r w:rsidR="00BD1F5E">
        <w:rPr>
          <w:bCs/>
          <w:color w:val="000000" w:themeColor="text1"/>
          <w:lang w:val="en-US"/>
        </w:rPr>
        <w:t>in the first nine months of 2013</w:t>
      </w:r>
      <w:r w:rsidR="009072DB" w:rsidRPr="009C238A">
        <w:rPr>
          <w:bCs/>
          <w:color w:val="000000" w:themeColor="text1"/>
          <w:lang w:val="en-US"/>
        </w:rPr>
        <w:t xml:space="preserve">. Excluding the molecular business contribution and the exchange rates impact in the periods under comparison, </w:t>
      </w:r>
      <w:r>
        <w:rPr>
          <w:bCs/>
          <w:color w:val="000000" w:themeColor="text1"/>
          <w:lang w:val="en-US"/>
        </w:rPr>
        <w:t>EBITDA</w:t>
      </w:r>
      <w:r w:rsidR="009072DB" w:rsidRPr="009C238A">
        <w:rPr>
          <w:bCs/>
          <w:color w:val="000000" w:themeColor="text1"/>
          <w:lang w:val="en-US"/>
        </w:rPr>
        <w:t xml:space="preserve"> would be equal to </w:t>
      </w:r>
      <w:r w:rsidR="00495B11">
        <w:rPr>
          <w:bCs/>
          <w:color w:val="000000" w:themeColor="text1"/>
          <w:lang w:val="en-US"/>
        </w:rPr>
        <w:t xml:space="preserve">about </w:t>
      </w:r>
      <w:r w:rsidR="009072DB" w:rsidRPr="009C238A">
        <w:rPr>
          <w:bCs/>
          <w:color w:val="000000" w:themeColor="text1"/>
          <w:lang w:val="en-US"/>
        </w:rPr>
        <w:t>40 percentage points of revenues (41.9% in 2012).</w:t>
      </w:r>
    </w:p>
    <w:p w:rsidR="009072DB" w:rsidRPr="009C238A" w:rsidRDefault="009072DB" w:rsidP="009072DB">
      <w:pPr>
        <w:spacing w:before="240" w:after="240"/>
        <w:ind w:right="-54"/>
        <w:jc w:val="both"/>
        <w:rPr>
          <w:color w:val="000000" w:themeColor="text1"/>
          <w:lang w:val="en-US"/>
        </w:rPr>
      </w:pPr>
      <w:r w:rsidRPr="009C238A">
        <w:rPr>
          <w:color w:val="000000" w:themeColor="text1"/>
          <w:lang w:val="en-US"/>
        </w:rPr>
        <w:t>In the first nine months of 2013, EBIT totaled 101,298 thousand euros, equal to 31.3% of revenues and down 7.2 percentage points compared with the same period in 2012.</w:t>
      </w:r>
    </w:p>
    <w:p w:rsidR="009072DB" w:rsidRPr="009C238A" w:rsidRDefault="009072DB" w:rsidP="009072DB">
      <w:pPr>
        <w:rPr>
          <w:b/>
          <w:highlight w:val="yellow"/>
          <w:lang w:val="en-US"/>
        </w:rPr>
      </w:pPr>
    </w:p>
    <w:p w:rsidR="009072DB" w:rsidRPr="009C238A" w:rsidRDefault="009072DB" w:rsidP="009072DB">
      <w:pPr>
        <w:spacing w:line="240" w:lineRule="atLeast"/>
        <w:ind w:right="-54"/>
        <w:jc w:val="both"/>
        <w:rPr>
          <w:b/>
          <w:bCs/>
          <w:color w:val="000000" w:themeColor="text1"/>
          <w:lang w:val="en-US"/>
        </w:rPr>
      </w:pPr>
      <w:r w:rsidRPr="009C238A">
        <w:rPr>
          <w:b/>
          <w:bCs/>
          <w:color w:val="000000" w:themeColor="text1"/>
          <w:lang w:val="en-US"/>
        </w:rPr>
        <w:t>Financial income and expense</w:t>
      </w:r>
    </w:p>
    <w:p w:rsidR="009072DB" w:rsidRPr="009C238A" w:rsidRDefault="009072DB" w:rsidP="009072DB">
      <w:pPr>
        <w:spacing w:line="240" w:lineRule="atLeast"/>
        <w:ind w:left="1224" w:right="-54"/>
        <w:jc w:val="both"/>
        <w:rPr>
          <w:i/>
          <w:highlight w:val="yellow"/>
          <w:lang w:val="en-US"/>
        </w:rPr>
      </w:pPr>
    </w:p>
    <w:p w:rsidR="009072DB" w:rsidRPr="009C238A" w:rsidRDefault="009072DB" w:rsidP="009072DB">
      <w:pPr>
        <w:tabs>
          <w:tab w:val="left" w:pos="360"/>
        </w:tabs>
        <w:jc w:val="both"/>
        <w:rPr>
          <w:color w:val="000000" w:themeColor="text1"/>
          <w:lang w:val="en-US"/>
        </w:rPr>
      </w:pPr>
      <w:r w:rsidRPr="009C238A">
        <w:rPr>
          <w:color w:val="000000" w:themeColor="text1"/>
          <w:lang w:val="en-US"/>
        </w:rPr>
        <w:t>In the first nine months of 2013, net financial expense</w:t>
      </w:r>
      <w:r w:rsidR="009F2B80">
        <w:rPr>
          <w:color w:val="000000" w:themeColor="text1"/>
          <w:lang w:val="en-US"/>
        </w:rPr>
        <w:t>s</w:t>
      </w:r>
      <w:r w:rsidRPr="009C238A">
        <w:rPr>
          <w:color w:val="000000" w:themeColor="text1"/>
          <w:lang w:val="en-US"/>
        </w:rPr>
        <w:t xml:space="preserve"> totaled 3,806 thousand euros, compared with net financial expense</w:t>
      </w:r>
      <w:r w:rsidR="009F2B80">
        <w:rPr>
          <w:color w:val="000000" w:themeColor="text1"/>
          <w:lang w:val="en-US"/>
        </w:rPr>
        <w:t>s</w:t>
      </w:r>
      <w:r w:rsidRPr="009C238A">
        <w:rPr>
          <w:color w:val="000000" w:themeColor="text1"/>
          <w:lang w:val="en-US"/>
        </w:rPr>
        <w:t xml:space="preserve"> of 2,223 thousand euros in the same period in 2012.</w:t>
      </w:r>
    </w:p>
    <w:p w:rsidR="009072DB" w:rsidRPr="009C238A" w:rsidRDefault="009072DB" w:rsidP="009072DB">
      <w:pPr>
        <w:tabs>
          <w:tab w:val="left" w:pos="360"/>
        </w:tabs>
        <w:jc w:val="both"/>
        <w:rPr>
          <w:highlight w:val="yellow"/>
          <w:lang w:val="en-US"/>
        </w:rPr>
      </w:pPr>
    </w:p>
    <w:p w:rsidR="009072DB" w:rsidRPr="009C238A" w:rsidRDefault="009072DB" w:rsidP="009072DB">
      <w:pPr>
        <w:pStyle w:val="Paragrafoelenco"/>
        <w:tabs>
          <w:tab w:val="left" w:pos="360"/>
        </w:tabs>
        <w:ind w:left="0"/>
        <w:jc w:val="both"/>
        <w:rPr>
          <w:color w:val="000000" w:themeColor="text1"/>
          <w:sz w:val="23"/>
          <w:szCs w:val="23"/>
          <w:lang w:val="en-US"/>
        </w:rPr>
      </w:pPr>
      <w:r w:rsidRPr="009C238A">
        <w:rPr>
          <w:color w:val="000000" w:themeColor="text1"/>
          <w:sz w:val="23"/>
          <w:szCs w:val="23"/>
          <w:lang w:val="en-US"/>
        </w:rPr>
        <w:t>The fair value of the Group’s financial instruments was negative by 1</w:t>
      </w:r>
      <w:r w:rsidR="0004511A">
        <w:rPr>
          <w:color w:val="000000" w:themeColor="text1"/>
          <w:sz w:val="23"/>
          <w:szCs w:val="23"/>
          <w:lang w:val="en-US"/>
        </w:rPr>
        <w:t>1</w:t>
      </w:r>
      <w:r w:rsidRPr="009C238A">
        <w:rPr>
          <w:color w:val="000000" w:themeColor="text1"/>
          <w:sz w:val="23"/>
          <w:szCs w:val="23"/>
          <w:lang w:val="en-US"/>
        </w:rPr>
        <w:t xml:space="preserve">3 thousand euros against a positive fair value of 98 thousand euros in the </w:t>
      </w:r>
      <w:r w:rsidRPr="009C238A">
        <w:rPr>
          <w:color w:val="000000" w:themeColor="text1"/>
          <w:lang w:val="en-US"/>
        </w:rPr>
        <w:t>first nine months of 2012.</w:t>
      </w:r>
      <w:r w:rsidRPr="009C238A">
        <w:rPr>
          <w:color w:val="000000" w:themeColor="text1"/>
          <w:sz w:val="23"/>
          <w:szCs w:val="23"/>
          <w:lang w:val="en-US"/>
        </w:rPr>
        <w:t xml:space="preserve"> Forward contracts closed out </w:t>
      </w:r>
      <w:r w:rsidRPr="009C238A">
        <w:rPr>
          <w:color w:val="000000" w:themeColor="text1"/>
          <w:sz w:val="23"/>
          <w:szCs w:val="23"/>
          <w:lang w:val="en-US"/>
        </w:rPr>
        <w:lastRenderedPageBreak/>
        <w:t>in the first nine months of 2013 reported a loss of 205 thousand euros (forward contracts closed out in 2012 reported a loss of 40 thousand euros)</w:t>
      </w:r>
    </w:p>
    <w:p w:rsidR="009072DB" w:rsidRPr="009C238A" w:rsidRDefault="00C47AE7" w:rsidP="009072DB">
      <w:pPr>
        <w:widowControl w:val="0"/>
        <w:autoSpaceDE w:val="0"/>
        <w:autoSpaceDN w:val="0"/>
        <w:adjustRightInd w:val="0"/>
        <w:jc w:val="both"/>
        <w:rPr>
          <w:rFonts w:eastAsiaTheme="minorEastAsia"/>
          <w:color w:val="000000" w:themeColor="text1"/>
          <w:lang w:val="en-US"/>
        </w:rPr>
      </w:pPr>
      <w:r>
        <w:rPr>
          <w:color w:val="000000" w:themeColor="text1"/>
          <w:lang w:val="en-US"/>
        </w:rPr>
        <w:t>The translation effect</w:t>
      </w:r>
      <w:r w:rsidR="009072DB" w:rsidRPr="009C238A">
        <w:rPr>
          <w:color w:val="000000" w:themeColor="text1"/>
          <w:lang w:val="en-US"/>
        </w:rPr>
        <w:t xml:space="preserve"> on other financial balances, which was negative by </w:t>
      </w:r>
      <w:r w:rsidR="00D97CD0" w:rsidRPr="009C238A">
        <w:rPr>
          <w:color w:val="000000" w:themeColor="text1"/>
          <w:lang w:val="en-US"/>
        </w:rPr>
        <w:t>1,321</w:t>
      </w:r>
      <w:r w:rsidR="009072DB" w:rsidRPr="009C238A">
        <w:rPr>
          <w:color w:val="000000" w:themeColor="text1"/>
          <w:lang w:val="en-US"/>
        </w:rPr>
        <w:t xml:space="preserve"> thousand euros (positive by 122 thousand euros in the </w:t>
      </w:r>
      <w:r w:rsidR="009072DB" w:rsidRPr="009C238A">
        <w:rPr>
          <w:color w:val="000000" w:themeColor="text1"/>
          <w:sz w:val="23"/>
          <w:szCs w:val="23"/>
          <w:lang w:val="en-US"/>
        </w:rPr>
        <w:t xml:space="preserve">first nine months </w:t>
      </w:r>
      <w:r w:rsidR="009072DB" w:rsidRPr="009C238A">
        <w:rPr>
          <w:color w:val="000000" w:themeColor="text1"/>
          <w:lang w:val="en-US"/>
        </w:rPr>
        <w:t xml:space="preserve">of 2012), </w:t>
      </w:r>
      <w:r w:rsidR="009072DB" w:rsidRPr="009C238A">
        <w:rPr>
          <w:rFonts w:eastAsiaTheme="minorEastAsia"/>
          <w:color w:val="000000" w:themeColor="text1"/>
          <w:lang w:val="en-US"/>
        </w:rPr>
        <w:t>related mainly to Euro exchange rate in medium and long-term intercompany financing disbursed by the Group’s Parent company to the Australian subsidiary in the local currency (636 thousand euros) and to translation effect on the GE Capital borrowing in USD refunded in the period (302 thousand euro).</w:t>
      </w:r>
    </w:p>
    <w:p w:rsidR="009072DB" w:rsidRPr="009C238A" w:rsidRDefault="009072DB" w:rsidP="009072DB">
      <w:pPr>
        <w:widowControl w:val="0"/>
        <w:autoSpaceDE w:val="0"/>
        <w:autoSpaceDN w:val="0"/>
        <w:adjustRightInd w:val="0"/>
        <w:jc w:val="both"/>
        <w:rPr>
          <w:lang w:val="en-US"/>
        </w:rPr>
      </w:pPr>
    </w:p>
    <w:p w:rsidR="009072DB" w:rsidRPr="009C238A" w:rsidRDefault="009072DB" w:rsidP="009072DB">
      <w:pPr>
        <w:tabs>
          <w:tab w:val="left" w:pos="0"/>
        </w:tabs>
        <w:jc w:val="both"/>
        <w:rPr>
          <w:highlight w:val="yellow"/>
          <w:lang w:val="en-US"/>
        </w:rPr>
      </w:pPr>
      <w:r w:rsidRPr="009C238A">
        <w:rPr>
          <w:color w:val="000000" w:themeColor="text1"/>
          <w:lang w:val="en-US"/>
        </w:rPr>
        <w:t>Interests and other financial expense for the period included 1,561 thousand euros in factoring transaction fees (1,799 thousand euros in the first nine months of 2012).</w:t>
      </w:r>
    </w:p>
    <w:p w:rsidR="009072DB" w:rsidRPr="009C238A" w:rsidRDefault="009072DB" w:rsidP="009072DB">
      <w:pPr>
        <w:spacing w:before="240" w:line="240" w:lineRule="atLeast"/>
        <w:ind w:right="-54"/>
        <w:jc w:val="both"/>
        <w:rPr>
          <w:b/>
          <w:lang w:val="en-US"/>
        </w:rPr>
      </w:pPr>
    </w:p>
    <w:p w:rsidR="009072DB" w:rsidRPr="009C238A" w:rsidRDefault="009072DB" w:rsidP="009072DB">
      <w:pPr>
        <w:spacing w:before="240" w:line="240" w:lineRule="atLeast"/>
        <w:ind w:right="-54"/>
        <w:jc w:val="both"/>
        <w:rPr>
          <w:b/>
          <w:bCs/>
          <w:lang w:val="en-US"/>
        </w:rPr>
      </w:pPr>
      <w:r w:rsidRPr="009C238A">
        <w:rPr>
          <w:b/>
          <w:bCs/>
          <w:lang w:val="en-US"/>
        </w:rPr>
        <w:t xml:space="preserve">Profit before taxes and net profit </w:t>
      </w:r>
    </w:p>
    <w:p w:rsidR="009072DB" w:rsidRPr="009C238A" w:rsidRDefault="009072DB" w:rsidP="009072DB">
      <w:pPr>
        <w:spacing w:before="240" w:line="240" w:lineRule="atLeast"/>
        <w:ind w:right="-54"/>
        <w:jc w:val="both"/>
        <w:rPr>
          <w:sz w:val="23"/>
          <w:szCs w:val="23"/>
          <w:lang w:val="en-US"/>
        </w:rPr>
      </w:pPr>
      <w:r w:rsidRPr="009C238A">
        <w:rPr>
          <w:sz w:val="23"/>
          <w:szCs w:val="23"/>
          <w:lang w:val="en-US"/>
        </w:rPr>
        <w:t>The first nine months of 2013 ended with a result before taxes of 97,492 thousand euros, which generated a tax liability of 36,437 thousand euros, down from the same period last year, when the result before taxes and the corresponding tax liability amounted to 106,927 thousand euros and 39,972 thousand euros, respectively. The tax rate amounting to 37.4% was in line with data at September 30, 2012</w:t>
      </w:r>
      <w:r w:rsidRPr="009C238A">
        <w:rPr>
          <w:lang w:val="en-US"/>
        </w:rPr>
        <w:t>.</w:t>
      </w:r>
    </w:p>
    <w:p w:rsidR="009072DB" w:rsidRPr="009C238A" w:rsidRDefault="009072DB" w:rsidP="009072DB">
      <w:pPr>
        <w:spacing w:before="240" w:after="240" w:line="240" w:lineRule="atLeast"/>
        <w:ind w:right="-54"/>
        <w:jc w:val="both"/>
        <w:rPr>
          <w:lang w:val="en-US"/>
        </w:rPr>
      </w:pPr>
      <w:r w:rsidRPr="009C238A">
        <w:rPr>
          <w:lang w:val="en-US"/>
        </w:rPr>
        <w:t xml:space="preserve">The net profit totaled 61,055 thousand euros compared with the net profit of 66,955 thousand euros in the first nine month of 2012, as a result of the negative effect related to exchange rates fluctuation above described. </w:t>
      </w:r>
    </w:p>
    <w:p w:rsidR="009072DB" w:rsidRPr="009C238A" w:rsidRDefault="009072DB" w:rsidP="009072DB">
      <w:pPr>
        <w:rPr>
          <w:b/>
          <w:bCs/>
          <w:smallCaps/>
          <w:lang w:val="en-US" w:eastAsia="en-US"/>
        </w:rPr>
      </w:pPr>
      <w:r w:rsidRPr="009C238A">
        <w:rPr>
          <w:smallCaps/>
          <w:lang w:val="en-US"/>
        </w:rPr>
        <w:br w:type="page"/>
      </w:r>
    </w:p>
    <w:p w:rsidR="009072DB" w:rsidRPr="00A93F31" w:rsidRDefault="009072DB" w:rsidP="009072DB">
      <w:pPr>
        <w:pStyle w:val="Titolo2"/>
        <w:rPr>
          <w:b/>
        </w:rPr>
      </w:pPr>
      <w:bookmarkStart w:id="28" w:name="_Toc230421657"/>
      <w:bookmarkStart w:id="29" w:name="_Toc237667812"/>
      <w:bookmarkStart w:id="30" w:name="_Toc245738346"/>
      <w:bookmarkStart w:id="31" w:name="_Toc245837748"/>
      <w:r w:rsidRPr="00A93F31">
        <w:rPr>
          <w:b/>
        </w:rPr>
        <w:lastRenderedPageBreak/>
        <w:t>STATEMENT OF FINANCIAL POSITION OF THE GROUP AT SEPTEMBER 30, 2013</w:t>
      </w:r>
      <w:bookmarkEnd w:id="28"/>
      <w:bookmarkEnd w:id="29"/>
      <w:bookmarkEnd w:id="30"/>
      <w:bookmarkEnd w:id="31"/>
    </w:p>
    <w:p w:rsidR="009072DB" w:rsidRPr="009C238A" w:rsidRDefault="009072DB" w:rsidP="009072DB">
      <w:pPr>
        <w:rPr>
          <w:lang w:val="en-US" w:eastAsia="en-US"/>
        </w:rPr>
      </w:pPr>
    </w:p>
    <w:p w:rsidR="009072DB" w:rsidRPr="009C238A" w:rsidRDefault="009072DB" w:rsidP="009072DB">
      <w:pPr>
        <w:rPr>
          <w:lang w:val="en-US" w:eastAsia="en-US"/>
        </w:rPr>
      </w:pPr>
      <w:bookmarkStart w:id="32" w:name="_Toc268695295"/>
      <w:bookmarkStart w:id="33" w:name="_Toc268782947"/>
      <w:bookmarkEnd w:id="23"/>
      <w:bookmarkEnd w:id="24"/>
      <w:bookmarkEnd w:id="25"/>
    </w:p>
    <w:p w:rsidR="009072DB" w:rsidRPr="009C238A" w:rsidRDefault="009072DB" w:rsidP="009072DB">
      <w:pPr>
        <w:jc w:val="both"/>
        <w:rPr>
          <w:lang w:val="en-US"/>
        </w:rPr>
      </w:pPr>
      <w:r w:rsidRPr="009C238A">
        <w:rPr>
          <w:lang w:val="en-US"/>
        </w:rPr>
        <w:t>A condensed statement of financial position of the Group at September 30, 2013 is provided below</w:t>
      </w:r>
      <w:r w:rsidRPr="009C238A" w:rsidDel="00B062B8">
        <w:rPr>
          <w:lang w:val="en-US"/>
        </w:rPr>
        <w:t>:</w:t>
      </w:r>
    </w:p>
    <w:p w:rsidR="009072DB" w:rsidRPr="009C238A" w:rsidRDefault="009072DB" w:rsidP="009072DB">
      <w:pPr>
        <w:jc w:val="both"/>
        <w:rPr>
          <w:lang w:val="en-US"/>
        </w:rPr>
      </w:pPr>
    </w:p>
    <w:tbl>
      <w:tblPr>
        <w:tblW w:w="5000" w:type="pct"/>
        <w:tblCellMar>
          <w:left w:w="70" w:type="dxa"/>
          <w:right w:w="70" w:type="dxa"/>
        </w:tblCellMar>
        <w:tblLook w:val="04A0"/>
      </w:tblPr>
      <w:tblGrid>
        <w:gridCol w:w="5406"/>
        <w:gridCol w:w="2089"/>
        <w:gridCol w:w="2284"/>
      </w:tblGrid>
      <w:tr w:rsidR="009072DB" w:rsidRPr="009C238A" w:rsidTr="009072DB">
        <w:trPr>
          <w:trHeight w:val="255"/>
        </w:trPr>
        <w:tc>
          <w:tcPr>
            <w:tcW w:w="276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i/>
                <w:iCs/>
                <w:sz w:val="16"/>
                <w:szCs w:val="16"/>
                <w:lang w:val="en-US"/>
              </w:rPr>
            </w:pPr>
            <w:r w:rsidRPr="009C238A">
              <w:rPr>
                <w:i/>
                <w:iCs/>
                <w:color w:val="000000" w:themeColor="text1"/>
                <w:sz w:val="16"/>
                <w:szCs w:val="16"/>
                <w:lang w:val="en-US"/>
              </w:rPr>
              <w:t>(in thousands of euros)</w:t>
            </w:r>
          </w:p>
        </w:tc>
        <w:tc>
          <w:tcPr>
            <w:tcW w:w="106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116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12/31/2012</w:t>
            </w:r>
          </w:p>
        </w:tc>
      </w:tr>
      <w:tr w:rsidR="009072DB" w:rsidRPr="009C238A" w:rsidTr="009072DB">
        <w:trPr>
          <w:trHeight w:val="255"/>
        </w:trPr>
        <w:tc>
          <w:tcPr>
            <w:tcW w:w="2764"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Intangible assets</w:t>
            </w:r>
          </w:p>
        </w:tc>
        <w:tc>
          <w:tcPr>
            <w:tcW w:w="10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121,511</w:t>
            </w:r>
          </w:p>
        </w:tc>
        <w:tc>
          <w:tcPr>
            <w:tcW w:w="11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125,276</w:t>
            </w:r>
          </w:p>
        </w:tc>
      </w:tr>
      <w:tr w:rsidR="009072DB" w:rsidRPr="009C238A" w:rsidTr="009072DB">
        <w:trPr>
          <w:trHeight w:val="255"/>
        </w:trPr>
        <w:tc>
          <w:tcPr>
            <w:tcW w:w="2764"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Property, plant and equipment</w:t>
            </w:r>
          </w:p>
        </w:tc>
        <w:tc>
          <w:tcPr>
            <w:tcW w:w="10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65,182</w:t>
            </w:r>
          </w:p>
        </w:tc>
        <w:tc>
          <w:tcPr>
            <w:tcW w:w="11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65,316</w:t>
            </w:r>
          </w:p>
        </w:tc>
      </w:tr>
      <w:tr w:rsidR="009072DB" w:rsidRPr="009C238A" w:rsidTr="009072DB">
        <w:trPr>
          <w:trHeight w:val="255"/>
        </w:trPr>
        <w:tc>
          <w:tcPr>
            <w:tcW w:w="2764"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Other non-current assets </w:t>
            </w:r>
          </w:p>
        </w:tc>
        <w:tc>
          <w:tcPr>
            <w:tcW w:w="10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22,870</w:t>
            </w:r>
          </w:p>
        </w:tc>
        <w:tc>
          <w:tcPr>
            <w:tcW w:w="11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22,400</w:t>
            </w:r>
          </w:p>
        </w:tc>
      </w:tr>
      <w:tr w:rsidR="009072DB" w:rsidRPr="009C238A" w:rsidTr="009072DB">
        <w:trPr>
          <w:trHeight w:val="255"/>
        </w:trPr>
        <w:tc>
          <w:tcPr>
            <w:tcW w:w="2764"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Net working capital </w:t>
            </w:r>
          </w:p>
        </w:tc>
        <w:tc>
          <w:tcPr>
            <w:tcW w:w="10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135,499</w:t>
            </w:r>
          </w:p>
        </w:tc>
        <w:tc>
          <w:tcPr>
            <w:tcW w:w="11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137,640</w:t>
            </w:r>
          </w:p>
        </w:tc>
      </w:tr>
      <w:tr w:rsidR="009072DB" w:rsidRPr="009C238A" w:rsidTr="009072DB">
        <w:trPr>
          <w:trHeight w:val="255"/>
        </w:trPr>
        <w:tc>
          <w:tcPr>
            <w:tcW w:w="2764"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Other non-current liabilities </w:t>
            </w:r>
          </w:p>
        </w:tc>
        <w:tc>
          <w:tcPr>
            <w:tcW w:w="10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(33,622)</w:t>
            </w:r>
          </w:p>
        </w:tc>
        <w:tc>
          <w:tcPr>
            <w:tcW w:w="1168"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(32,798)</w:t>
            </w:r>
          </w:p>
        </w:tc>
      </w:tr>
      <w:tr w:rsidR="009072DB" w:rsidRPr="009C238A" w:rsidTr="009072DB">
        <w:trPr>
          <w:trHeight w:val="255"/>
        </w:trPr>
        <w:tc>
          <w:tcPr>
            <w:tcW w:w="2764"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F26C32">
            <w:pPr>
              <w:rPr>
                <w:b/>
                <w:bCs/>
                <w:sz w:val="20"/>
                <w:szCs w:val="20"/>
                <w:lang w:val="en-US"/>
              </w:rPr>
            </w:pPr>
            <w:r w:rsidRPr="009C238A">
              <w:rPr>
                <w:b/>
                <w:bCs/>
                <w:color w:val="000000" w:themeColor="text1"/>
                <w:sz w:val="20"/>
                <w:szCs w:val="20"/>
                <w:lang w:val="en-US"/>
              </w:rPr>
              <w:t xml:space="preserve">Net </w:t>
            </w:r>
            <w:r w:rsidR="00F26C32">
              <w:rPr>
                <w:b/>
                <w:bCs/>
                <w:color w:val="000000" w:themeColor="text1"/>
                <w:sz w:val="20"/>
                <w:szCs w:val="20"/>
                <w:lang w:val="en-US"/>
              </w:rPr>
              <w:t>capital employed</w:t>
            </w:r>
          </w:p>
        </w:tc>
        <w:tc>
          <w:tcPr>
            <w:tcW w:w="106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311,440</w:t>
            </w:r>
          </w:p>
        </w:tc>
        <w:tc>
          <w:tcPr>
            <w:tcW w:w="116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317,834</w:t>
            </w:r>
          </w:p>
        </w:tc>
      </w:tr>
      <w:tr w:rsidR="009072DB" w:rsidRPr="009C238A" w:rsidTr="009072DB">
        <w:trPr>
          <w:trHeight w:val="255"/>
        </w:trPr>
        <w:tc>
          <w:tcPr>
            <w:tcW w:w="2764" w:type="pct"/>
            <w:tcBorders>
              <w:top w:val="nil"/>
              <w:left w:val="nil"/>
              <w:bottom w:val="single" w:sz="4"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Net financial position</w:t>
            </w:r>
          </w:p>
        </w:tc>
        <w:tc>
          <w:tcPr>
            <w:tcW w:w="106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84,153</w:t>
            </w:r>
          </w:p>
        </w:tc>
        <w:tc>
          <w:tcPr>
            <w:tcW w:w="116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47,168</w:t>
            </w:r>
          </w:p>
        </w:tc>
      </w:tr>
      <w:tr w:rsidR="009072DB" w:rsidRPr="009C238A" w:rsidTr="009072DB">
        <w:trPr>
          <w:trHeight w:val="255"/>
        </w:trPr>
        <w:tc>
          <w:tcPr>
            <w:tcW w:w="2764" w:type="pct"/>
            <w:tcBorders>
              <w:top w:val="nil"/>
              <w:left w:val="nil"/>
              <w:bottom w:val="single" w:sz="4" w:space="0" w:color="auto"/>
              <w:right w:val="nil"/>
            </w:tcBorders>
            <w:shd w:val="clear" w:color="auto" w:fill="auto"/>
            <w:noWrap/>
            <w:vAlign w:val="center"/>
            <w:hideMark/>
          </w:tcPr>
          <w:p w:rsidR="009072DB" w:rsidRPr="009C238A" w:rsidRDefault="00F26C32" w:rsidP="009072DB">
            <w:pPr>
              <w:rPr>
                <w:b/>
                <w:bCs/>
                <w:sz w:val="20"/>
                <w:szCs w:val="20"/>
                <w:lang w:val="en-US"/>
              </w:rPr>
            </w:pPr>
            <w:r>
              <w:rPr>
                <w:b/>
                <w:bCs/>
                <w:color w:val="000000" w:themeColor="text1"/>
                <w:sz w:val="20"/>
                <w:szCs w:val="20"/>
                <w:lang w:val="en-US"/>
              </w:rPr>
              <w:t xml:space="preserve">Total </w:t>
            </w:r>
            <w:r w:rsidR="009072DB" w:rsidRPr="009C238A">
              <w:rPr>
                <w:b/>
                <w:bCs/>
                <w:color w:val="000000" w:themeColor="text1"/>
                <w:sz w:val="20"/>
                <w:szCs w:val="20"/>
                <w:lang w:val="en-US"/>
              </w:rPr>
              <w:t>Shareholders’ equity</w:t>
            </w:r>
          </w:p>
        </w:tc>
        <w:tc>
          <w:tcPr>
            <w:tcW w:w="106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395,593</w:t>
            </w:r>
          </w:p>
        </w:tc>
        <w:tc>
          <w:tcPr>
            <w:tcW w:w="116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365,002</w:t>
            </w:r>
          </w:p>
        </w:tc>
      </w:tr>
    </w:tbl>
    <w:p w:rsidR="009072DB" w:rsidRPr="009C238A" w:rsidRDefault="009072DB" w:rsidP="009072DB">
      <w:pPr>
        <w:jc w:val="both"/>
        <w:rPr>
          <w:lang w:val="en-US"/>
        </w:rPr>
      </w:pPr>
    </w:p>
    <w:p w:rsidR="009072DB" w:rsidRPr="009C238A" w:rsidRDefault="009072DB" w:rsidP="009072DB">
      <w:pPr>
        <w:jc w:val="both"/>
        <w:rPr>
          <w:color w:val="000000" w:themeColor="text1"/>
          <w:lang w:val="en-US"/>
        </w:rPr>
      </w:pPr>
      <w:r w:rsidRPr="009C238A">
        <w:rPr>
          <w:color w:val="000000" w:themeColor="text1"/>
          <w:lang w:val="en-US"/>
        </w:rPr>
        <w:t xml:space="preserve">Non-current assets decreased from 212,992 thousand euros at December 31, 2012 to 209,563 thousand euros at September 30, 2013 due to the period’s </w:t>
      </w:r>
      <w:r w:rsidR="007C0773">
        <w:rPr>
          <w:color w:val="000000" w:themeColor="text1"/>
          <w:lang w:val="en-US"/>
        </w:rPr>
        <w:t>amortization</w:t>
      </w:r>
      <w:r w:rsidRPr="009C238A">
        <w:rPr>
          <w:color w:val="000000" w:themeColor="text1"/>
          <w:lang w:val="en-US"/>
        </w:rPr>
        <w:t xml:space="preserve"> of property, plant and equipment and intangible</w:t>
      </w:r>
      <w:r w:rsidR="007C0773">
        <w:rPr>
          <w:color w:val="000000" w:themeColor="text1"/>
          <w:lang w:val="en-US"/>
        </w:rPr>
        <w:t xml:space="preserve"> asset</w:t>
      </w:r>
      <w:r w:rsidRPr="009C238A">
        <w:rPr>
          <w:color w:val="000000" w:themeColor="text1"/>
          <w:lang w:val="en-US"/>
        </w:rPr>
        <w:t xml:space="preserve">s </w:t>
      </w:r>
      <w:r w:rsidR="007C0773">
        <w:rPr>
          <w:color w:val="000000" w:themeColor="text1"/>
          <w:lang w:val="en-US"/>
        </w:rPr>
        <w:t>as well as to</w:t>
      </w:r>
      <w:r w:rsidRPr="009C238A">
        <w:rPr>
          <w:color w:val="000000" w:themeColor="text1"/>
          <w:lang w:val="en-US"/>
        </w:rPr>
        <w:t xml:space="preserve"> the translation effect resulting from fluctuations in the exchange rate for the euro versus the main currencies used by the Group, that largely offset the investments of the period.</w:t>
      </w:r>
    </w:p>
    <w:p w:rsidR="009072DB" w:rsidRPr="009C238A" w:rsidRDefault="009072DB" w:rsidP="009072DB">
      <w:pPr>
        <w:jc w:val="both"/>
        <w:rPr>
          <w:lang w:val="en-US"/>
        </w:rPr>
      </w:pPr>
    </w:p>
    <w:p w:rsidR="009072DB" w:rsidRPr="009C238A" w:rsidRDefault="009072DB" w:rsidP="009072DB">
      <w:pPr>
        <w:jc w:val="both"/>
        <w:rPr>
          <w:color w:val="000000" w:themeColor="text1"/>
          <w:lang w:val="en-US"/>
        </w:rPr>
      </w:pPr>
      <w:r w:rsidRPr="009C238A">
        <w:rPr>
          <w:color w:val="000000" w:themeColor="text1"/>
          <w:lang w:val="en-US"/>
        </w:rPr>
        <w:t>A breakdown of net working capital is provided below:</w:t>
      </w:r>
    </w:p>
    <w:p w:rsidR="009072DB" w:rsidRPr="009C238A" w:rsidRDefault="009072DB" w:rsidP="009072DB">
      <w:pPr>
        <w:jc w:val="both"/>
        <w:rPr>
          <w:lang w:val="en-US"/>
        </w:rPr>
      </w:pPr>
    </w:p>
    <w:tbl>
      <w:tblPr>
        <w:tblW w:w="5000" w:type="pct"/>
        <w:tblCellMar>
          <w:left w:w="70" w:type="dxa"/>
          <w:right w:w="70" w:type="dxa"/>
        </w:tblCellMar>
        <w:tblLook w:val="04A0"/>
      </w:tblPr>
      <w:tblGrid>
        <w:gridCol w:w="4392"/>
        <w:gridCol w:w="1797"/>
        <w:gridCol w:w="1797"/>
        <w:gridCol w:w="1793"/>
      </w:tblGrid>
      <w:tr w:rsidR="009072DB" w:rsidRPr="009C238A" w:rsidTr="009072DB">
        <w:trPr>
          <w:trHeight w:val="240"/>
        </w:trPr>
        <w:tc>
          <w:tcPr>
            <w:tcW w:w="2245"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91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91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12/31/2012</w:t>
            </w:r>
          </w:p>
        </w:tc>
        <w:tc>
          <w:tcPr>
            <w:tcW w:w="918"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Change</w:t>
            </w:r>
          </w:p>
        </w:tc>
      </w:tr>
      <w:tr w:rsidR="009072DB" w:rsidRPr="009C238A" w:rsidTr="009072DB">
        <w:trPr>
          <w:trHeight w:val="240"/>
        </w:trPr>
        <w:tc>
          <w:tcPr>
            <w:tcW w:w="2245"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Trade receivables </w:t>
            </w:r>
          </w:p>
        </w:tc>
        <w:tc>
          <w:tcPr>
            <w:tcW w:w="91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113,559</w:t>
            </w:r>
          </w:p>
        </w:tc>
        <w:tc>
          <w:tcPr>
            <w:tcW w:w="91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113,788</w:t>
            </w:r>
          </w:p>
        </w:tc>
        <w:tc>
          <w:tcPr>
            <w:tcW w:w="91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(229)</w:t>
            </w:r>
          </w:p>
        </w:tc>
      </w:tr>
      <w:tr w:rsidR="009072DB" w:rsidRPr="009C238A" w:rsidTr="009072DB">
        <w:trPr>
          <w:trHeight w:val="240"/>
        </w:trPr>
        <w:tc>
          <w:tcPr>
            <w:tcW w:w="2245"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Ending inventory </w:t>
            </w:r>
          </w:p>
        </w:tc>
        <w:tc>
          <w:tcPr>
            <w:tcW w:w="91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85,015</w:t>
            </w:r>
          </w:p>
        </w:tc>
        <w:tc>
          <w:tcPr>
            <w:tcW w:w="91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83,972</w:t>
            </w:r>
          </w:p>
        </w:tc>
        <w:tc>
          <w:tcPr>
            <w:tcW w:w="91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1,043</w:t>
            </w:r>
          </w:p>
        </w:tc>
      </w:tr>
      <w:tr w:rsidR="009072DB" w:rsidRPr="009C238A" w:rsidTr="009072DB">
        <w:trPr>
          <w:trHeight w:val="240"/>
        </w:trPr>
        <w:tc>
          <w:tcPr>
            <w:tcW w:w="2245"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Trade payables </w:t>
            </w:r>
          </w:p>
        </w:tc>
        <w:tc>
          <w:tcPr>
            <w:tcW w:w="91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(33,623)</w:t>
            </w:r>
          </w:p>
        </w:tc>
        <w:tc>
          <w:tcPr>
            <w:tcW w:w="91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(37,206)</w:t>
            </w:r>
          </w:p>
        </w:tc>
        <w:tc>
          <w:tcPr>
            <w:tcW w:w="91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3,583</w:t>
            </w:r>
          </w:p>
        </w:tc>
      </w:tr>
      <w:tr w:rsidR="009072DB" w:rsidRPr="009C238A" w:rsidTr="009072DB">
        <w:trPr>
          <w:trHeight w:val="240"/>
        </w:trPr>
        <w:tc>
          <w:tcPr>
            <w:tcW w:w="2245"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Other current assets/liabilities (1) </w:t>
            </w:r>
          </w:p>
        </w:tc>
        <w:tc>
          <w:tcPr>
            <w:tcW w:w="91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(29,452)</w:t>
            </w:r>
          </w:p>
        </w:tc>
        <w:tc>
          <w:tcPr>
            <w:tcW w:w="91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(22,914)</w:t>
            </w:r>
          </w:p>
        </w:tc>
        <w:tc>
          <w:tcPr>
            <w:tcW w:w="91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(6,538)</w:t>
            </w:r>
          </w:p>
        </w:tc>
      </w:tr>
      <w:tr w:rsidR="009072DB" w:rsidRPr="009C238A" w:rsidTr="009072DB">
        <w:trPr>
          <w:trHeight w:val="240"/>
        </w:trPr>
        <w:tc>
          <w:tcPr>
            <w:tcW w:w="2245"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Net working capital</w:t>
            </w:r>
          </w:p>
        </w:tc>
        <w:tc>
          <w:tcPr>
            <w:tcW w:w="91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135,499</w:t>
            </w:r>
          </w:p>
        </w:tc>
        <w:tc>
          <w:tcPr>
            <w:tcW w:w="91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137,640</w:t>
            </w:r>
          </w:p>
        </w:tc>
        <w:tc>
          <w:tcPr>
            <w:tcW w:w="918"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(2,141)</w:t>
            </w:r>
          </w:p>
        </w:tc>
      </w:tr>
    </w:tbl>
    <w:p w:rsidR="009072DB" w:rsidRPr="009C238A" w:rsidRDefault="009072DB" w:rsidP="009072DB">
      <w:pPr>
        <w:jc w:val="both"/>
        <w:rPr>
          <w:lang w:val="en-US"/>
        </w:rPr>
      </w:pPr>
      <w:r w:rsidRPr="009C238A">
        <w:rPr>
          <w:sz w:val="16"/>
          <w:szCs w:val="16"/>
          <w:lang w:val="en-US"/>
        </w:rPr>
        <w:t xml:space="preserve">(1) </w:t>
      </w:r>
      <w:r w:rsidRPr="009C238A">
        <w:rPr>
          <w:color w:val="000000" w:themeColor="text1"/>
          <w:sz w:val="16"/>
          <w:szCs w:val="16"/>
          <w:lang w:val="en-US"/>
        </w:rPr>
        <w:t>Other current assets/liabilities is defined as the algebraic sum of receivables and payables other than financial and commercial items</w:t>
      </w:r>
    </w:p>
    <w:p w:rsidR="009072DB" w:rsidRPr="009C238A" w:rsidRDefault="009072DB" w:rsidP="009072DB">
      <w:pPr>
        <w:jc w:val="both"/>
        <w:rPr>
          <w:highlight w:val="yellow"/>
          <w:lang w:val="en-US"/>
        </w:rPr>
      </w:pPr>
    </w:p>
    <w:p w:rsidR="009072DB" w:rsidRPr="009C238A" w:rsidRDefault="009072DB" w:rsidP="009072DB">
      <w:pPr>
        <w:jc w:val="both"/>
        <w:rPr>
          <w:lang w:val="en-US"/>
        </w:rPr>
      </w:pPr>
      <w:r w:rsidRPr="009C238A">
        <w:rPr>
          <w:color w:val="000000" w:themeColor="text1"/>
          <w:lang w:val="en-US"/>
        </w:rPr>
        <w:t xml:space="preserve">In the first nine months of 2013, the working capital decreased by </w:t>
      </w:r>
      <w:r w:rsidRPr="009C238A">
        <w:rPr>
          <w:lang w:val="en-US"/>
        </w:rPr>
        <w:t xml:space="preserve">2,141 thousand euros, </w:t>
      </w:r>
      <w:r w:rsidRPr="009C238A">
        <w:rPr>
          <w:color w:val="000000" w:themeColor="text1"/>
          <w:lang w:val="en-US"/>
        </w:rPr>
        <w:t>due mainly to the negative change in other current assets and liabilities, partly offset by reduction in trade payables and a rise in inventories.</w:t>
      </w:r>
      <w:r w:rsidRPr="009C238A">
        <w:rPr>
          <w:lang w:val="en-US"/>
        </w:rPr>
        <w:t xml:space="preserve"> </w:t>
      </w:r>
    </w:p>
    <w:p w:rsidR="009072DB" w:rsidRPr="009C238A" w:rsidRDefault="009072DB" w:rsidP="009072DB">
      <w:pPr>
        <w:jc w:val="both"/>
        <w:rPr>
          <w:color w:val="000000" w:themeColor="text1"/>
          <w:lang w:val="en-US"/>
        </w:rPr>
      </w:pPr>
      <w:r w:rsidRPr="009C238A">
        <w:rPr>
          <w:color w:val="000000" w:themeColor="text1"/>
          <w:lang w:val="en-US"/>
        </w:rPr>
        <w:t xml:space="preserve">Ending inventories grew by </w:t>
      </w:r>
      <w:r w:rsidRPr="009C238A">
        <w:rPr>
          <w:lang w:val="en-US"/>
        </w:rPr>
        <w:t xml:space="preserve">1,043 </w:t>
      </w:r>
      <w:r w:rsidRPr="009C238A">
        <w:rPr>
          <w:color w:val="000000" w:themeColor="text1"/>
          <w:lang w:val="en-US"/>
        </w:rPr>
        <w:t xml:space="preserve">thousand euros compared with December 31, 2012 due to higher inventories of </w:t>
      </w:r>
      <w:r w:rsidR="00846557" w:rsidRPr="009C238A">
        <w:rPr>
          <w:color w:val="000000" w:themeColor="text1"/>
          <w:lang w:val="en-US"/>
        </w:rPr>
        <w:t>semi-finished</w:t>
      </w:r>
      <w:r w:rsidRPr="009C238A">
        <w:rPr>
          <w:color w:val="000000" w:themeColor="text1"/>
          <w:lang w:val="en-US"/>
        </w:rPr>
        <w:t xml:space="preserve"> goods at the Group’s production facilities, for products whose launch is scheduled in the next months.</w:t>
      </w:r>
    </w:p>
    <w:p w:rsidR="009072DB" w:rsidRPr="009C238A" w:rsidRDefault="009072DB" w:rsidP="009072DB">
      <w:pPr>
        <w:jc w:val="both"/>
        <w:rPr>
          <w:color w:val="000000" w:themeColor="text1"/>
          <w:lang w:val="en-US"/>
        </w:rPr>
      </w:pPr>
      <w:r w:rsidRPr="009C238A">
        <w:rPr>
          <w:color w:val="000000" w:themeColor="text1"/>
          <w:lang w:val="en-US"/>
        </w:rPr>
        <w:t xml:space="preserve">Other current assets/liabilities increased by </w:t>
      </w:r>
      <w:r w:rsidRPr="009C238A">
        <w:rPr>
          <w:lang w:val="en-US"/>
        </w:rPr>
        <w:t xml:space="preserve">6,538 </w:t>
      </w:r>
      <w:r w:rsidRPr="009C238A">
        <w:rPr>
          <w:color w:val="000000" w:themeColor="text1"/>
          <w:lang w:val="en-US"/>
        </w:rPr>
        <w:t xml:space="preserve">thousand euros, due to income tax liabilities and tax credits registered at December 31, 2012 during 2013. </w:t>
      </w:r>
    </w:p>
    <w:p w:rsidR="009072DB" w:rsidRPr="009C238A" w:rsidRDefault="009072DB" w:rsidP="009072DB">
      <w:pPr>
        <w:jc w:val="both"/>
        <w:rPr>
          <w:strike/>
          <w:lang w:val="en-US"/>
        </w:rPr>
      </w:pPr>
      <w:r w:rsidRPr="009C238A">
        <w:rPr>
          <w:lang w:val="en-US"/>
        </w:rPr>
        <w:t xml:space="preserve">Trade receivables were substantially in line with December 2012. </w:t>
      </w:r>
    </w:p>
    <w:p w:rsidR="009072DB" w:rsidRPr="009C238A" w:rsidRDefault="009072DB" w:rsidP="009072DB">
      <w:pPr>
        <w:jc w:val="both"/>
        <w:rPr>
          <w:highlight w:val="yellow"/>
          <w:lang w:val="en-US"/>
        </w:rPr>
      </w:pPr>
    </w:p>
    <w:p w:rsidR="009072DB" w:rsidRPr="009C238A" w:rsidRDefault="009072DB" w:rsidP="009072DB">
      <w:pPr>
        <w:tabs>
          <w:tab w:val="left" w:pos="567"/>
          <w:tab w:val="left" w:pos="1134"/>
          <w:tab w:val="left" w:pos="1702"/>
          <w:tab w:val="left" w:pos="2269"/>
          <w:tab w:val="left" w:pos="2835"/>
          <w:tab w:val="left" w:pos="3402"/>
          <w:tab w:val="left" w:pos="3969"/>
        </w:tabs>
        <w:ind w:right="-1"/>
        <w:jc w:val="both"/>
        <w:rPr>
          <w:highlight w:val="yellow"/>
          <w:lang w:val="en-US"/>
        </w:rPr>
      </w:pPr>
    </w:p>
    <w:p w:rsidR="009072DB" w:rsidRPr="009C238A" w:rsidRDefault="009072DB" w:rsidP="009072DB">
      <w:pPr>
        <w:pStyle w:val="Paragrafoelenco"/>
        <w:ind w:left="0"/>
        <w:jc w:val="both"/>
        <w:rPr>
          <w:lang w:val="en-US"/>
        </w:rPr>
      </w:pPr>
      <w:r w:rsidRPr="009C238A">
        <w:rPr>
          <w:color w:val="000000" w:themeColor="text1"/>
          <w:lang w:val="en-US"/>
        </w:rPr>
        <w:t xml:space="preserve">At September 30, 2013 the net consolidated financial position was positive by </w:t>
      </w:r>
      <w:r w:rsidRPr="009C238A">
        <w:rPr>
          <w:lang w:val="en-US"/>
        </w:rPr>
        <w:t>84,153</w:t>
      </w:r>
      <w:r w:rsidRPr="009C238A">
        <w:rPr>
          <w:color w:val="000000" w:themeColor="text1"/>
          <w:lang w:val="en-US"/>
        </w:rPr>
        <w:t xml:space="preserve"> thousand euros for an increase of</w:t>
      </w:r>
      <w:r w:rsidRPr="009C238A">
        <w:rPr>
          <w:lang w:val="en-US"/>
        </w:rPr>
        <w:t xml:space="preserve"> 36,985 </w:t>
      </w:r>
      <w:r w:rsidRPr="009C238A">
        <w:rPr>
          <w:color w:val="000000" w:themeColor="text1"/>
          <w:lang w:val="en-US"/>
        </w:rPr>
        <w:t>thousand euros compared with December 31, 2012, due to the cash flow generated from operating activities in the first nine months of 2013</w:t>
      </w:r>
      <w:r w:rsidRPr="009C238A">
        <w:rPr>
          <w:lang w:val="en-US"/>
        </w:rPr>
        <w:t>, equal to 65,941 thousand euros.</w:t>
      </w:r>
    </w:p>
    <w:p w:rsidR="009072DB" w:rsidRPr="009C238A" w:rsidRDefault="009072DB" w:rsidP="009072DB">
      <w:pPr>
        <w:rPr>
          <w:highlight w:val="yellow"/>
          <w:lang w:val="en-US"/>
        </w:rPr>
      </w:pPr>
    </w:p>
    <w:p w:rsidR="009072DB" w:rsidRPr="009C238A" w:rsidRDefault="009072DB" w:rsidP="009072DB">
      <w:pPr>
        <w:tabs>
          <w:tab w:val="left" w:pos="567"/>
          <w:tab w:val="left" w:pos="1134"/>
          <w:tab w:val="left" w:pos="1702"/>
          <w:tab w:val="left" w:pos="2269"/>
          <w:tab w:val="left" w:pos="2835"/>
          <w:tab w:val="left" w:pos="3402"/>
          <w:tab w:val="left" w:pos="3969"/>
        </w:tabs>
        <w:ind w:right="-1"/>
        <w:jc w:val="both"/>
        <w:rPr>
          <w:color w:val="000000" w:themeColor="text1"/>
          <w:lang w:val="en-US"/>
        </w:rPr>
      </w:pPr>
      <w:r w:rsidRPr="009C238A">
        <w:rPr>
          <w:lang w:val="en-US"/>
        </w:rPr>
        <w:br w:type="page"/>
      </w:r>
      <w:r w:rsidRPr="009C238A">
        <w:rPr>
          <w:color w:val="000000" w:themeColor="text1"/>
          <w:lang w:val="en-US"/>
        </w:rPr>
        <w:lastRenderedPageBreak/>
        <w:t>A condensed net financial position schedule is shown below:</w:t>
      </w:r>
    </w:p>
    <w:p w:rsidR="009072DB" w:rsidRPr="009C238A" w:rsidRDefault="009072DB" w:rsidP="009072DB">
      <w:pPr>
        <w:rPr>
          <w:highlight w:val="yellow"/>
          <w:lang w:val="en-US"/>
        </w:rPr>
      </w:pPr>
    </w:p>
    <w:tbl>
      <w:tblPr>
        <w:tblW w:w="5000" w:type="pct"/>
        <w:tblCellMar>
          <w:left w:w="70" w:type="dxa"/>
          <w:right w:w="70" w:type="dxa"/>
        </w:tblCellMar>
        <w:tblLook w:val="00A0"/>
      </w:tblPr>
      <w:tblGrid>
        <w:gridCol w:w="5997"/>
        <w:gridCol w:w="1891"/>
        <w:gridCol w:w="1891"/>
      </w:tblGrid>
      <w:tr w:rsidR="009072DB" w:rsidRPr="009C238A" w:rsidTr="009072DB">
        <w:trPr>
          <w:trHeight w:val="615"/>
        </w:trPr>
        <w:tc>
          <w:tcPr>
            <w:tcW w:w="3066" w:type="pct"/>
            <w:tcBorders>
              <w:top w:val="single" w:sz="4" w:space="0" w:color="auto"/>
              <w:left w:val="nil"/>
              <w:bottom w:val="single" w:sz="4" w:space="0" w:color="auto"/>
              <w:right w:val="nil"/>
            </w:tcBorders>
            <w:noWrap/>
            <w:vAlign w:val="center"/>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967" w:type="pct"/>
            <w:tcBorders>
              <w:top w:val="single" w:sz="4" w:space="0" w:color="auto"/>
              <w:left w:val="nil"/>
              <w:bottom w:val="single" w:sz="4" w:space="0" w:color="auto"/>
              <w:right w:val="nil"/>
            </w:tcBorders>
            <w:shd w:val="clear" w:color="000000" w:fill="FFFFFF"/>
            <w:noWrap/>
            <w:vAlign w:val="center"/>
          </w:tcPr>
          <w:p w:rsidR="009072DB" w:rsidRPr="009C238A" w:rsidRDefault="009072DB" w:rsidP="009072DB">
            <w:pPr>
              <w:jc w:val="right"/>
              <w:rPr>
                <w:b/>
                <w:bCs/>
                <w:sz w:val="20"/>
                <w:szCs w:val="20"/>
                <w:lang w:val="en-US"/>
              </w:rPr>
            </w:pPr>
            <w:r w:rsidRPr="009C238A">
              <w:rPr>
                <w:b/>
                <w:bCs/>
                <w:sz w:val="20"/>
                <w:szCs w:val="20"/>
                <w:lang w:val="en-US"/>
              </w:rPr>
              <w:t>9/30/2013</w:t>
            </w:r>
          </w:p>
        </w:tc>
        <w:tc>
          <w:tcPr>
            <w:tcW w:w="967" w:type="pct"/>
            <w:tcBorders>
              <w:top w:val="single" w:sz="4" w:space="0" w:color="auto"/>
              <w:left w:val="nil"/>
              <w:bottom w:val="single" w:sz="4" w:space="0" w:color="auto"/>
              <w:right w:val="nil"/>
            </w:tcBorders>
            <w:shd w:val="clear" w:color="000000" w:fill="FFFFFF"/>
            <w:noWrap/>
            <w:vAlign w:val="center"/>
          </w:tcPr>
          <w:p w:rsidR="009072DB" w:rsidRPr="009C238A" w:rsidRDefault="009072DB" w:rsidP="009072DB">
            <w:pPr>
              <w:jc w:val="right"/>
              <w:rPr>
                <w:b/>
                <w:bCs/>
                <w:sz w:val="20"/>
                <w:szCs w:val="20"/>
                <w:lang w:val="en-US"/>
              </w:rPr>
            </w:pPr>
            <w:r w:rsidRPr="009C238A">
              <w:rPr>
                <w:b/>
                <w:bCs/>
                <w:sz w:val="20"/>
                <w:szCs w:val="20"/>
                <w:lang w:val="en-US"/>
              </w:rPr>
              <w:t>12/31/2012</w:t>
            </w:r>
          </w:p>
        </w:tc>
      </w:tr>
      <w:tr w:rsidR="009072DB" w:rsidRPr="009C238A" w:rsidTr="009072DB">
        <w:trPr>
          <w:trHeight w:val="270"/>
        </w:trPr>
        <w:tc>
          <w:tcPr>
            <w:tcW w:w="3066" w:type="pct"/>
            <w:tcBorders>
              <w:top w:val="nil"/>
              <w:left w:val="nil"/>
              <w:bottom w:val="nil"/>
              <w:right w:val="nil"/>
            </w:tcBorders>
            <w:vAlign w:val="center"/>
          </w:tcPr>
          <w:p w:rsidR="009072DB" w:rsidRPr="009C238A" w:rsidRDefault="009072DB" w:rsidP="009072DB">
            <w:pPr>
              <w:rPr>
                <w:b/>
                <w:bCs/>
                <w:i/>
                <w:iCs/>
                <w:sz w:val="20"/>
                <w:szCs w:val="20"/>
                <w:lang w:val="en-US"/>
              </w:rPr>
            </w:pPr>
          </w:p>
        </w:tc>
        <w:tc>
          <w:tcPr>
            <w:tcW w:w="967" w:type="pct"/>
            <w:tcBorders>
              <w:top w:val="nil"/>
              <w:left w:val="nil"/>
              <w:bottom w:val="nil"/>
              <w:right w:val="nil"/>
            </w:tcBorders>
            <w:vAlign w:val="center"/>
          </w:tcPr>
          <w:p w:rsidR="009072DB" w:rsidRPr="009C238A" w:rsidRDefault="009072DB" w:rsidP="009072DB">
            <w:pPr>
              <w:jc w:val="center"/>
              <w:rPr>
                <w:b/>
                <w:bCs/>
                <w:i/>
                <w:iCs/>
                <w:sz w:val="20"/>
                <w:szCs w:val="20"/>
                <w:lang w:val="en-US"/>
              </w:rPr>
            </w:pPr>
          </w:p>
        </w:tc>
        <w:tc>
          <w:tcPr>
            <w:tcW w:w="967" w:type="pct"/>
            <w:tcBorders>
              <w:top w:val="nil"/>
              <w:left w:val="nil"/>
              <w:bottom w:val="nil"/>
              <w:right w:val="nil"/>
            </w:tcBorders>
            <w:vAlign w:val="center"/>
          </w:tcPr>
          <w:p w:rsidR="009072DB" w:rsidRPr="009C238A" w:rsidRDefault="009072DB" w:rsidP="009072DB">
            <w:pPr>
              <w:jc w:val="center"/>
              <w:rPr>
                <w:b/>
                <w:bCs/>
                <w:i/>
                <w:iCs/>
                <w:sz w:val="20"/>
                <w:szCs w:val="20"/>
                <w:lang w:val="en-US"/>
              </w:rPr>
            </w:pP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sz w:val="20"/>
                <w:szCs w:val="20"/>
                <w:lang w:val="en-US"/>
              </w:rPr>
            </w:pPr>
            <w:r w:rsidRPr="009C238A">
              <w:rPr>
                <w:color w:val="000000" w:themeColor="text1"/>
                <w:sz w:val="20"/>
                <w:szCs w:val="20"/>
                <w:lang w:val="en-US"/>
              </w:rPr>
              <w:t>Cash and cash equivalents</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92,361</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104,599</w:t>
            </w:r>
          </w:p>
        </w:tc>
      </w:tr>
      <w:tr w:rsidR="009072DB" w:rsidRPr="009C238A" w:rsidTr="009072DB">
        <w:trPr>
          <w:trHeight w:val="255"/>
        </w:trPr>
        <w:tc>
          <w:tcPr>
            <w:tcW w:w="3066"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color w:val="000000" w:themeColor="text1"/>
                <w:sz w:val="20"/>
                <w:szCs w:val="20"/>
                <w:lang w:val="en-US"/>
              </w:rPr>
              <w:t>Liquid assets (a)</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92,361</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104,599</w:t>
            </w: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p>
        </w:tc>
      </w:tr>
      <w:tr w:rsidR="009072DB" w:rsidRPr="009C238A" w:rsidTr="009072DB">
        <w:trPr>
          <w:trHeight w:val="255"/>
        </w:trPr>
        <w:tc>
          <w:tcPr>
            <w:tcW w:w="3066"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color w:val="000000" w:themeColor="text1"/>
                <w:sz w:val="20"/>
                <w:szCs w:val="20"/>
                <w:lang w:val="en-US"/>
              </w:rPr>
              <w:t>Other current financial assets (b)</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150</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263</w:t>
            </w: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b/>
                <w:bCs/>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b/>
                <w:bCs/>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b/>
                <w:bCs/>
                <w:sz w:val="20"/>
                <w:szCs w:val="20"/>
                <w:lang w:val="en-US"/>
              </w:rPr>
            </w:pP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sz w:val="20"/>
                <w:szCs w:val="20"/>
                <w:lang w:val="en-US"/>
              </w:rPr>
            </w:pPr>
            <w:r w:rsidRPr="009C238A">
              <w:rPr>
                <w:color w:val="000000" w:themeColor="text1"/>
                <w:sz w:val="20"/>
                <w:szCs w:val="20"/>
                <w:lang w:val="en-US"/>
              </w:rPr>
              <w:t xml:space="preserve">  Current bank debt</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(7,909)</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(8,047)</w:t>
            </w: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sz w:val="20"/>
                <w:szCs w:val="20"/>
                <w:lang w:val="en-US"/>
              </w:rPr>
            </w:pPr>
            <w:r w:rsidRPr="009C238A">
              <w:rPr>
                <w:color w:val="000000" w:themeColor="text1"/>
                <w:sz w:val="20"/>
                <w:szCs w:val="20"/>
                <w:lang w:val="en-US"/>
              </w:rPr>
              <w:t xml:space="preserve">  Other current financial liabilities</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(18)</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(19)</w:t>
            </w:r>
          </w:p>
        </w:tc>
      </w:tr>
      <w:tr w:rsidR="009072DB" w:rsidRPr="009C238A" w:rsidTr="009072DB">
        <w:trPr>
          <w:trHeight w:val="225"/>
        </w:trPr>
        <w:tc>
          <w:tcPr>
            <w:tcW w:w="3066"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color w:val="000000" w:themeColor="text1"/>
                <w:sz w:val="20"/>
                <w:szCs w:val="20"/>
                <w:lang w:val="en-US"/>
              </w:rPr>
              <w:t>Current indebtedness (c)</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(7,927)</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(8,066)</w:t>
            </w: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b/>
                <w:bCs/>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p>
        </w:tc>
      </w:tr>
      <w:tr w:rsidR="009072DB" w:rsidRPr="009C238A" w:rsidTr="009072DB">
        <w:trPr>
          <w:trHeight w:val="255"/>
        </w:trPr>
        <w:tc>
          <w:tcPr>
            <w:tcW w:w="3066"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color w:val="000000" w:themeColor="text1"/>
                <w:sz w:val="20"/>
                <w:szCs w:val="20"/>
                <w:lang w:val="en-US"/>
              </w:rPr>
              <w:t>Net current financial assets (d)=(a)+(b)+(c)</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84,584</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96,796</w:t>
            </w: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jc w:val="both"/>
              <w:rPr>
                <w:color w:val="000000" w:themeColor="text1"/>
                <w:sz w:val="20"/>
                <w:szCs w:val="20"/>
                <w:lang w:val="en-US"/>
              </w:rPr>
            </w:pPr>
          </w:p>
          <w:p w:rsidR="009072DB" w:rsidRPr="009C238A" w:rsidRDefault="009072DB" w:rsidP="009072DB">
            <w:pPr>
              <w:rPr>
                <w:sz w:val="20"/>
                <w:szCs w:val="20"/>
                <w:lang w:val="en-US"/>
              </w:rPr>
            </w:pPr>
            <w:r w:rsidRPr="009C238A">
              <w:rPr>
                <w:color w:val="000000" w:themeColor="text1"/>
                <w:sz w:val="20"/>
                <w:szCs w:val="20"/>
                <w:lang w:val="en-US"/>
              </w:rPr>
              <w:t xml:space="preserve">  Non-current bank debt</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(397)</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(4,512)</w:t>
            </w: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sz w:val="20"/>
                <w:szCs w:val="20"/>
                <w:lang w:val="en-US"/>
              </w:rPr>
            </w:pPr>
            <w:r w:rsidRPr="009C238A">
              <w:rPr>
                <w:color w:val="000000" w:themeColor="text1"/>
                <w:sz w:val="20"/>
                <w:szCs w:val="20"/>
                <w:lang w:val="en-US"/>
              </w:rPr>
              <w:t xml:space="preserve">  Other non-current financial liabilities</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(34)</w:t>
            </w: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r w:rsidRPr="009C238A">
              <w:rPr>
                <w:sz w:val="20"/>
                <w:szCs w:val="20"/>
                <w:lang w:val="en-US"/>
              </w:rPr>
              <w:t>(36)</w:t>
            </w:r>
          </w:p>
        </w:tc>
      </w:tr>
      <w:tr w:rsidR="009072DB" w:rsidRPr="009C238A" w:rsidTr="009072DB">
        <w:trPr>
          <w:trHeight w:val="255"/>
        </w:trPr>
        <w:tc>
          <w:tcPr>
            <w:tcW w:w="3066"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color w:val="000000" w:themeColor="text1"/>
                <w:sz w:val="20"/>
                <w:szCs w:val="20"/>
                <w:lang w:val="en-US"/>
              </w:rPr>
              <w:t>Non-current indebtedness (e)</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(431)</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(4,548)</w:t>
            </w: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i/>
                <w:iCs/>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i/>
                <w:iCs/>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i/>
                <w:iCs/>
                <w:sz w:val="20"/>
                <w:szCs w:val="20"/>
                <w:lang w:val="en-US"/>
              </w:rPr>
            </w:pPr>
          </w:p>
        </w:tc>
      </w:tr>
      <w:tr w:rsidR="009072DB" w:rsidRPr="009C238A" w:rsidTr="009072DB">
        <w:trPr>
          <w:trHeight w:val="255"/>
        </w:trPr>
        <w:tc>
          <w:tcPr>
            <w:tcW w:w="3066"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color w:val="000000" w:themeColor="text1"/>
                <w:sz w:val="20"/>
                <w:szCs w:val="20"/>
                <w:lang w:val="en-US"/>
              </w:rPr>
              <w:t>Liabilities to the shareholders for the dividend (f)</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(45,080)</w:t>
            </w:r>
          </w:p>
        </w:tc>
      </w:tr>
      <w:tr w:rsidR="009072DB" w:rsidRPr="009C238A" w:rsidTr="009072DB">
        <w:trPr>
          <w:trHeight w:val="255"/>
        </w:trPr>
        <w:tc>
          <w:tcPr>
            <w:tcW w:w="3066" w:type="pct"/>
            <w:tcBorders>
              <w:top w:val="nil"/>
              <w:left w:val="nil"/>
              <w:bottom w:val="nil"/>
              <w:right w:val="nil"/>
            </w:tcBorders>
            <w:vAlign w:val="center"/>
          </w:tcPr>
          <w:p w:rsidR="009072DB" w:rsidRPr="009C238A" w:rsidRDefault="009072DB" w:rsidP="009072DB">
            <w:pPr>
              <w:rPr>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p>
        </w:tc>
        <w:tc>
          <w:tcPr>
            <w:tcW w:w="967" w:type="pct"/>
            <w:tcBorders>
              <w:top w:val="nil"/>
              <w:left w:val="nil"/>
              <w:bottom w:val="nil"/>
              <w:right w:val="nil"/>
            </w:tcBorders>
            <w:vAlign w:val="center"/>
          </w:tcPr>
          <w:p w:rsidR="009072DB" w:rsidRPr="009C238A" w:rsidRDefault="009072DB" w:rsidP="009072DB">
            <w:pPr>
              <w:jc w:val="right"/>
              <w:rPr>
                <w:sz w:val="20"/>
                <w:szCs w:val="20"/>
                <w:lang w:val="en-US"/>
              </w:rPr>
            </w:pPr>
          </w:p>
        </w:tc>
      </w:tr>
      <w:tr w:rsidR="009072DB" w:rsidRPr="009C238A" w:rsidTr="009072DB">
        <w:trPr>
          <w:trHeight w:val="255"/>
        </w:trPr>
        <w:tc>
          <w:tcPr>
            <w:tcW w:w="3066" w:type="pct"/>
            <w:tcBorders>
              <w:top w:val="single" w:sz="4" w:space="0" w:color="auto"/>
              <w:left w:val="nil"/>
              <w:bottom w:val="single" w:sz="4" w:space="0" w:color="auto"/>
              <w:right w:val="nil"/>
            </w:tcBorders>
            <w:vAlign w:val="center"/>
          </w:tcPr>
          <w:p w:rsidR="009072DB" w:rsidRPr="009C238A" w:rsidRDefault="009072DB" w:rsidP="009072DB">
            <w:pPr>
              <w:rPr>
                <w:b/>
                <w:bCs/>
                <w:sz w:val="20"/>
                <w:szCs w:val="20"/>
                <w:lang w:val="en-US"/>
              </w:rPr>
            </w:pPr>
            <w:r w:rsidRPr="009C238A">
              <w:rPr>
                <w:b/>
                <w:bCs/>
                <w:color w:val="000000" w:themeColor="text1"/>
                <w:sz w:val="20"/>
                <w:szCs w:val="20"/>
                <w:lang w:val="en-US"/>
              </w:rPr>
              <w:t>Net financial position (g)=(d)+(e)+(f)</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84,153</w:t>
            </w:r>
          </w:p>
        </w:tc>
        <w:tc>
          <w:tcPr>
            <w:tcW w:w="967" w:type="pct"/>
            <w:tcBorders>
              <w:top w:val="single" w:sz="4" w:space="0" w:color="auto"/>
              <w:left w:val="nil"/>
              <w:bottom w:val="single" w:sz="4" w:space="0" w:color="auto"/>
              <w:right w:val="nil"/>
            </w:tcBorders>
            <w:vAlign w:val="center"/>
          </w:tcPr>
          <w:p w:rsidR="009072DB" w:rsidRPr="009C238A" w:rsidRDefault="009072DB" w:rsidP="009072DB">
            <w:pPr>
              <w:jc w:val="right"/>
              <w:rPr>
                <w:b/>
                <w:bCs/>
                <w:sz w:val="20"/>
                <w:szCs w:val="20"/>
                <w:lang w:val="en-US"/>
              </w:rPr>
            </w:pPr>
            <w:r w:rsidRPr="009C238A">
              <w:rPr>
                <w:b/>
                <w:bCs/>
                <w:sz w:val="20"/>
                <w:szCs w:val="20"/>
                <w:lang w:val="en-US"/>
              </w:rPr>
              <w:t>47,168</w:t>
            </w:r>
          </w:p>
        </w:tc>
      </w:tr>
    </w:tbl>
    <w:p w:rsidR="009072DB" w:rsidRPr="009C238A" w:rsidRDefault="009072DB" w:rsidP="009072DB">
      <w:pPr>
        <w:pStyle w:val="Titolo2"/>
        <w:rPr>
          <w:b/>
          <w:bCs w:val="0"/>
          <w:highlight w:val="yellow"/>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Shareholders’ equity, which totaled </w:t>
      </w:r>
      <w:r w:rsidRPr="009C238A">
        <w:rPr>
          <w:lang w:val="en-US"/>
        </w:rPr>
        <w:t xml:space="preserve">395,593 </w:t>
      </w:r>
      <w:r w:rsidRPr="009C238A">
        <w:rPr>
          <w:color w:val="000000" w:themeColor="text1"/>
          <w:lang w:val="en-US"/>
        </w:rPr>
        <w:t xml:space="preserve">thousand euros at September 30, 2013 </w:t>
      </w:r>
      <w:r w:rsidRPr="009C238A">
        <w:rPr>
          <w:lang w:val="en-US"/>
        </w:rPr>
        <w:t>(</w:t>
      </w:r>
      <w:r w:rsidRPr="009C238A">
        <w:rPr>
          <w:color w:val="000000" w:themeColor="text1"/>
          <w:lang w:val="en-US"/>
        </w:rPr>
        <w:t xml:space="preserve">365,002 thousand euros at December 31, 2012), includes treasury shares valued at 44,882 thousand euros. </w:t>
      </w:r>
    </w:p>
    <w:p w:rsidR="009072DB" w:rsidRPr="009C238A" w:rsidRDefault="009072DB" w:rsidP="009072DB">
      <w:pPr>
        <w:jc w:val="both"/>
        <w:rPr>
          <w:color w:val="000000" w:themeColor="text1"/>
          <w:lang w:val="en-US"/>
        </w:rPr>
      </w:pPr>
      <w:r w:rsidRPr="009C238A">
        <w:rPr>
          <w:color w:val="000000" w:themeColor="text1"/>
          <w:lang w:val="en-US"/>
        </w:rPr>
        <w:t>The reserve for treasury shares, which was established pursuant to law (Article 2357 of the Italian Civil Code), was recognized following purchases of treasury shares executed in 2011.</w:t>
      </w:r>
    </w:p>
    <w:p w:rsidR="009072DB" w:rsidRPr="009C238A" w:rsidRDefault="009072DB" w:rsidP="009072DB">
      <w:pPr>
        <w:jc w:val="both"/>
        <w:rPr>
          <w:b/>
          <w:bCs/>
          <w:smallCaps/>
          <w:highlight w:val="yellow"/>
          <w:lang w:val="en-US" w:eastAsia="en-US"/>
        </w:rPr>
      </w:pPr>
      <w:r w:rsidRPr="009C238A">
        <w:rPr>
          <w:smallCaps/>
          <w:highlight w:val="yellow"/>
          <w:lang w:val="en-US"/>
        </w:rPr>
        <w:br w:type="page"/>
      </w:r>
    </w:p>
    <w:p w:rsidR="009072DB" w:rsidRPr="00341CB3" w:rsidRDefault="009072DB" w:rsidP="009072DB">
      <w:pPr>
        <w:pStyle w:val="Titolo2"/>
        <w:rPr>
          <w:b/>
        </w:rPr>
      </w:pPr>
      <w:bookmarkStart w:id="34" w:name="_Toc230421658"/>
      <w:bookmarkStart w:id="35" w:name="_Toc237667813"/>
      <w:bookmarkStart w:id="36" w:name="_Toc245738347"/>
      <w:bookmarkStart w:id="37" w:name="_Toc245837749"/>
      <w:r w:rsidRPr="00341CB3">
        <w:rPr>
          <w:b/>
        </w:rPr>
        <w:lastRenderedPageBreak/>
        <w:t>ANALYSIS OF CONSOLIDATED CASH FLOWS</w:t>
      </w:r>
      <w:bookmarkEnd w:id="34"/>
      <w:bookmarkEnd w:id="35"/>
      <w:bookmarkEnd w:id="36"/>
      <w:bookmarkEnd w:id="37"/>
      <w:r w:rsidRPr="00341CB3">
        <w:rPr>
          <w:b/>
        </w:rPr>
        <w:t xml:space="preserve"> </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A schedule showing a condensed consolidated statement of cash flows, followed by a review of the main statement items and of the changes that occurred compared with the corresponding period in 2012, is provided below:</w:t>
      </w:r>
    </w:p>
    <w:p w:rsidR="009072DB" w:rsidRPr="009C238A" w:rsidRDefault="009072DB" w:rsidP="009072DB">
      <w:pPr>
        <w:spacing w:before="240" w:line="240" w:lineRule="atLeast"/>
        <w:ind w:right="-54"/>
        <w:jc w:val="both"/>
        <w:rPr>
          <w:lang w:val="en-US"/>
        </w:rPr>
      </w:pPr>
    </w:p>
    <w:tbl>
      <w:tblPr>
        <w:tblW w:w="5000" w:type="pct"/>
        <w:tblCellMar>
          <w:left w:w="70" w:type="dxa"/>
          <w:right w:w="70" w:type="dxa"/>
        </w:tblCellMar>
        <w:tblLook w:val="00A0"/>
      </w:tblPr>
      <w:tblGrid>
        <w:gridCol w:w="5225"/>
        <w:gridCol w:w="1138"/>
        <w:gridCol w:w="1140"/>
        <w:gridCol w:w="1140"/>
        <w:gridCol w:w="1136"/>
      </w:tblGrid>
      <w:tr w:rsidR="009072DB" w:rsidRPr="009C238A" w:rsidTr="009072DB">
        <w:trPr>
          <w:trHeight w:val="510"/>
        </w:trPr>
        <w:tc>
          <w:tcPr>
            <w:tcW w:w="2671"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rPr>
                <w:i/>
                <w:iCs/>
                <w:sz w:val="18"/>
                <w:szCs w:val="18"/>
                <w:lang w:val="en-US"/>
              </w:rPr>
            </w:pPr>
            <w:r w:rsidRPr="009C238A">
              <w:rPr>
                <w:i/>
                <w:iCs/>
                <w:color w:val="000000" w:themeColor="text1"/>
                <w:sz w:val="20"/>
                <w:szCs w:val="20"/>
                <w:lang w:val="en-US"/>
              </w:rPr>
              <w:t>(in thousands of euros)</w:t>
            </w:r>
          </w:p>
        </w:tc>
        <w:tc>
          <w:tcPr>
            <w:tcW w:w="582"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i/>
                <w:iCs/>
                <w:sz w:val="18"/>
                <w:szCs w:val="18"/>
                <w:lang w:val="en-US"/>
              </w:rPr>
            </w:pPr>
            <w:r w:rsidRPr="009C238A">
              <w:rPr>
                <w:b/>
                <w:bCs/>
                <w:i/>
                <w:iCs/>
                <w:sz w:val="18"/>
                <w:szCs w:val="18"/>
                <w:lang w:val="en-US"/>
              </w:rPr>
              <w:t>First nine months</w:t>
            </w:r>
            <w:r w:rsidRPr="009C238A">
              <w:rPr>
                <w:b/>
                <w:bCs/>
                <w:i/>
                <w:iCs/>
                <w:sz w:val="18"/>
                <w:szCs w:val="18"/>
                <w:lang w:val="en-US"/>
              </w:rPr>
              <w:br/>
              <w:t>2013</w:t>
            </w:r>
          </w:p>
        </w:tc>
        <w:tc>
          <w:tcPr>
            <w:tcW w:w="583"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i/>
                <w:iCs/>
                <w:sz w:val="18"/>
                <w:szCs w:val="18"/>
                <w:lang w:val="en-US"/>
              </w:rPr>
            </w:pPr>
            <w:r w:rsidRPr="009C238A">
              <w:rPr>
                <w:b/>
                <w:bCs/>
                <w:i/>
                <w:iCs/>
                <w:sz w:val="18"/>
                <w:szCs w:val="18"/>
                <w:lang w:val="en-US"/>
              </w:rPr>
              <w:t>First nine months</w:t>
            </w:r>
            <w:r w:rsidRPr="009C238A">
              <w:rPr>
                <w:b/>
                <w:bCs/>
                <w:i/>
                <w:iCs/>
                <w:sz w:val="18"/>
                <w:szCs w:val="18"/>
                <w:lang w:val="en-US"/>
              </w:rPr>
              <w:br/>
              <w:t>2012</w:t>
            </w:r>
          </w:p>
        </w:tc>
        <w:tc>
          <w:tcPr>
            <w:tcW w:w="583"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i/>
                <w:iCs/>
                <w:sz w:val="18"/>
                <w:szCs w:val="18"/>
                <w:lang w:val="en-US"/>
              </w:rPr>
            </w:pPr>
            <w:r w:rsidRPr="009C238A">
              <w:rPr>
                <w:b/>
                <w:bCs/>
                <w:i/>
                <w:iCs/>
                <w:sz w:val="18"/>
                <w:szCs w:val="18"/>
                <w:lang w:val="en-US"/>
              </w:rPr>
              <w:t>3</w:t>
            </w:r>
            <w:r w:rsidRPr="009C238A">
              <w:rPr>
                <w:b/>
                <w:bCs/>
                <w:i/>
                <w:iCs/>
                <w:sz w:val="18"/>
                <w:szCs w:val="18"/>
                <w:vertAlign w:val="superscript"/>
                <w:lang w:val="en-US"/>
              </w:rPr>
              <w:t>rd</w:t>
            </w:r>
            <w:r w:rsidRPr="009C238A">
              <w:rPr>
                <w:b/>
                <w:bCs/>
                <w:i/>
                <w:iCs/>
                <w:sz w:val="18"/>
                <w:szCs w:val="18"/>
                <w:lang w:val="en-US"/>
              </w:rPr>
              <w:t xml:space="preserve"> quarter 2013</w:t>
            </w:r>
          </w:p>
        </w:tc>
        <w:tc>
          <w:tcPr>
            <w:tcW w:w="581" w:type="pct"/>
            <w:tcBorders>
              <w:top w:val="single" w:sz="4" w:space="0" w:color="auto"/>
              <w:left w:val="nil"/>
              <w:bottom w:val="single" w:sz="4" w:space="0" w:color="auto"/>
              <w:right w:val="nil"/>
            </w:tcBorders>
            <w:shd w:val="clear" w:color="000000" w:fill="FFFFFF"/>
            <w:vAlign w:val="center"/>
          </w:tcPr>
          <w:p w:rsidR="009072DB" w:rsidRPr="009C238A" w:rsidRDefault="009072DB" w:rsidP="009072DB">
            <w:pPr>
              <w:jc w:val="right"/>
              <w:rPr>
                <w:b/>
                <w:bCs/>
                <w:i/>
                <w:iCs/>
                <w:sz w:val="18"/>
                <w:szCs w:val="18"/>
                <w:lang w:val="en-US"/>
              </w:rPr>
            </w:pPr>
            <w:r w:rsidRPr="009C238A">
              <w:rPr>
                <w:b/>
                <w:bCs/>
                <w:i/>
                <w:iCs/>
                <w:sz w:val="18"/>
                <w:szCs w:val="18"/>
                <w:lang w:val="en-US"/>
              </w:rPr>
              <w:t>3</w:t>
            </w:r>
            <w:r w:rsidRPr="009C238A">
              <w:rPr>
                <w:b/>
                <w:bCs/>
                <w:i/>
                <w:iCs/>
                <w:sz w:val="18"/>
                <w:szCs w:val="18"/>
                <w:vertAlign w:val="superscript"/>
                <w:lang w:val="en-US"/>
              </w:rPr>
              <w:t>rd</w:t>
            </w:r>
            <w:r w:rsidRPr="009C238A">
              <w:rPr>
                <w:b/>
                <w:bCs/>
                <w:i/>
                <w:iCs/>
                <w:sz w:val="18"/>
                <w:szCs w:val="18"/>
                <w:lang w:val="en-US"/>
              </w:rPr>
              <w:t xml:space="preserve"> quarter 2012</w:t>
            </w:r>
          </w:p>
        </w:tc>
      </w:tr>
      <w:tr w:rsidR="009072DB" w:rsidRPr="009C238A" w:rsidTr="009072DB">
        <w:trPr>
          <w:trHeight w:val="450"/>
        </w:trPr>
        <w:tc>
          <w:tcPr>
            <w:tcW w:w="2671" w:type="pct"/>
            <w:tcBorders>
              <w:top w:val="nil"/>
              <w:left w:val="nil"/>
              <w:bottom w:val="single" w:sz="4" w:space="0" w:color="auto"/>
              <w:right w:val="nil"/>
            </w:tcBorders>
            <w:shd w:val="clear" w:color="000000" w:fill="FFFFFF"/>
            <w:noWrap/>
            <w:vAlign w:val="center"/>
          </w:tcPr>
          <w:p w:rsidR="009072DB" w:rsidRPr="009C238A" w:rsidRDefault="009072DB" w:rsidP="009072DB">
            <w:pPr>
              <w:rPr>
                <w:b/>
                <w:bCs/>
                <w:sz w:val="20"/>
                <w:szCs w:val="20"/>
                <w:lang w:val="en-US"/>
              </w:rPr>
            </w:pPr>
            <w:r w:rsidRPr="009C238A">
              <w:rPr>
                <w:b/>
                <w:bCs/>
                <w:color w:val="000000" w:themeColor="text1"/>
                <w:sz w:val="20"/>
                <w:szCs w:val="20"/>
                <w:lang w:val="en-US"/>
              </w:rPr>
              <w:t>Cash and cash equivalents at the beginning of period</w:t>
            </w:r>
          </w:p>
        </w:tc>
        <w:tc>
          <w:tcPr>
            <w:tcW w:w="582"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104,599</w:t>
            </w:r>
          </w:p>
        </w:tc>
        <w:tc>
          <w:tcPr>
            <w:tcW w:w="583"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64,145</w:t>
            </w:r>
          </w:p>
        </w:tc>
        <w:tc>
          <w:tcPr>
            <w:tcW w:w="583"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67,506</w:t>
            </w:r>
          </w:p>
        </w:tc>
        <w:tc>
          <w:tcPr>
            <w:tcW w:w="581"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69,843</w:t>
            </w:r>
          </w:p>
        </w:tc>
      </w:tr>
      <w:tr w:rsidR="009072DB" w:rsidRPr="009C238A" w:rsidTr="009072DB">
        <w:trPr>
          <w:trHeight w:val="360"/>
        </w:trPr>
        <w:tc>
          <w:tcPr>
            <w:tcW w:w="2671" w:type="pct"/>
            <w:tcBorders>
              <w:top w:val="nil"/>
              <w:left w:val="nil"/>
              <w:bottom w:val="nil"/>
              <w:right w:val="nil"/>
            </w:tcBorders>
            <w:shd w:val="clear" w:color="000000" w:fill="FFFFFF"/>
            <w:noWrap/>
            <w:vAlign w:val="center"/>
          </w:tcPr>
          <w:p w:rsidR="009072DB" w:rsidRPr="009C238A" w:rsidRDefault="009072DB" w:rsidP="009072DB">
            <w:pPr>
              <w:rPr>
                <w:sz w:val="20"/>
                <w:szCs w:val="20"/>
                <w:lang w:val="en-US"/>
              </w:rPr>
            </w:pPr>
            <w:r w:rsidRPr="009C238A">
              <w:rPr>
                <w:color w:val="000000" w:themeColor="text1"/>
                <w:sz w:val="20"/>
                <w:szCs w:val="20"/>
                <w:lang w:val="en-US"/>
              </w:rPr>
              <w:t>Net cash from operating activities</w:t>
            </w:r>
          </w:p>
        </w:tc>
        <w:tc>
          <w:tcPr>
            <w:tcW w:w="582"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85,450</w:t>
            </w:r>
          </w:p>
        </w:tc>
        <w:tc>
          <w:tcPr>
            <w:tcW w:w="583"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84,990</w:t>
            </w:r>
          </w:p>
        </w:tc>
        <w:tc>
          <w:tcPr>
            <w:tcW w:w="583"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36,706</w:t>
            </w:r>
          </w:p>
        </w:tc>
        <w:tc>
          <w:tcPr>
            <w:tcW w:w="581"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30,072</w:t>
            </w:r>
          </w:p>
        </w:tc>
      </w:tr>
      <w:tr w:rsidR="009072DB" w:rsidRPr="009C238A" w:rsidTr="009072DB">
        <w:trPr>
          <w:trHeight w:val="360"/>
        </w:trPr>
        <w:tc>
          <w:tcPr>
            <w:tcW w:w="2671" w:type="pct"/>
            <w:tcBorders>
              <w:top w:val="nil"/>
              <w:left w:val="nil"/>
              <w:bottom w:val="nil"/>
              <w:right w:val="nil"/>
            </w:tcBorders>
            <w:shd w:val="clear" w:color="000000" w:fill="FFFFFF"/>
            <w:noWrap/>
          </w:tcPr>
          <w:p w:rsidR="009072DB" w:rsidRPr="009C238A" w:rsidRDefault="009072DB" w:rsidP="009072DB">
            <w:pPr>
              <w:rPr>
                <w:sz w:val="20"/>
                <w:szCs w:val="20"/>
                <w:lang w:val="en-US"/>
              </w:rPr>
            </w:pPr>
            <w:r w:rsidRPr="009C238A">
              <w:rPr>
                <w:color w:val="000000" w:themeColor="text1"/>
                <w:sz w:val="20"/>
                <w:szCs w:val="20"/>
                <w:lang w:val="en-US"/>
              </w:rPr>
              <w:t xml:space="preserve">Cash used for investing activities </w:t>
            </w:r>
          </w:p>
        </w:tc>
        <w:tc>
          <w:tcPr>
            <w:tcW w:w="582"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(21,055)</w:t>
            </w:r>
          </w:p>
        </w:tc>
        <w:tc>
          <w:tcPr>
            <w:tcW w:w="583"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(21,464)</w:t>
            </w:r>
          </w:p>
        </w:tc>
        <w:tc>
          <w:tcPr>
            <w:tcW w:w="583"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(8,654)</w:t>
            </w:r>
          </w:p>
        </w:tc>
        <w:tc>
          <w:tcPr>
            <w:tcW w:w="581"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(8,166)</w:t>
            </w:r>
          </w:p>
        </w:tc>
      </w:tr>
      <w:tr w:rsidR="009072DB" w:rsidRPr="009C238A" w:rsidTr="009072DB">
        <w:trPr>
          <w:trHeight w:val="360"/>
        </w:trPr>
        <w:tc>
          <w:tcPr>
            <w:tcW w:w="2671" w:type="pct"/>
            <w:tcBorders>
              <w:top w:val="nil"/>
              <w:left w:val="nil"/>
              <w:bottom w:val="nil"/>
              <w:right w:val="nil"/>
            </w:tcBorders>
            <w:shd w:val="clear" w:color="000000" w:fill="FFFFFF"/>
            <w:noWrap/>
          </w:tcPr>
          <w:p w:rsidR="009072DB" w:rsidRPr="009C238A" w:rsidRDefault="009072DB" w:rsidP="009072DB">
            <w:pPr>
              <w:rPr>
                <w:sz w:val="20"/>
                <w:szCs w:val="20"/>
                <w:lang w:val="en-US"/>
              </w:rPr>
            </w:pPr>
            <w:r w:rsidRPr="009C238A">
              <w:rPr>
                <w:color w:val="000000" w:themeColor="text1"/>
                <w:sz w:val="20"/>
                <w:szCs w:val="20"/>
                <w:lang w:val="en-US"/>
              </w:rPr>
              <w:t xml:space="preserve">Cash used for financing activities </w:t>
            </w:r>
          </w:p>
        </w:tc>
        <w:tc>
          <w:tcPr>
            <w:tcW w:w="582"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(76,903)</w:t>
            </w:r>
          </w:p>
        </w:tc>
        <w:tc>
          <w:tcPr>
            <w:tcW w:w="583"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(28,316)</w:t>
            </w:r>
          </w:p>
        </w:tc>
        <w:tc>
          <w:tcPr>
            <w:tcW w:w="583"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(3,197)</w:t>
            </w:r>
          </w:p>
        </w:tc>
        <w:tc>
          <w:tcPr>
            <w:tcW w:w="581"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6</w:t>
            </w:r>
          </w:p>
        </w:tc>
      </w:tr>
      <w:tr w:rsidR="009072DB" w:rsidRPr="009C238A" w:rsidTr="009072DB">
        <w:trPr>
          <w:trHeight w:val="360"/>
        </w:trPr>
        <w:tc>
          <w:tcPr>
            <w:tcW w:w="2671" w:type="pct"/>
            <w:tcBorders>
              <w:top w:val="nil"/>
              <w:left w:val="nil"/>
              <w:bottom w:val="nil"/>
              <w:right w:val="nil"/>
            </w:tcBorders>
            <w:shd w:val="clear" w:color="000000" w:fill="FFFFFF"/>
            <w:noWrap/>
            <w:vAlign w:val="center"/>
          </w:tcPr>
          <w:p w:rsidR="009072DB" w:rsidRPr="009C238A" w:rsidRDefault="009072DB" w:rsidP="009072DB">
            <w:pPr>
              <w:rPr>
                <w:sz w:val="20"/>
                <w:szCs w:val="20"/>
                <w:lang w:val="en-US"/>
              </w:rPr>
            </w:pPr>
            <w:r w:rsidRPr="009C238A">
              <w:rPr>
                <w:color w:val="000000" w:themeColor="text1"/>
                <w:sz w:val="20"/>
                <w:szCs w:val="20"/>
                <w:lang w:val="en-US"/>
              </w:rPr>
              <w:t>Acquisitions of subsidiaries and business operations</w:t>
            </w:r>
          </w:p>
        </w:tc>
        <w:tc>
          <w:tcPr>
            <w:tcW w:w="582" w:type="pct"/>
            <w:tcBorders>
              <w:top w:val="nil"/>
              <w:left w:val="nil"/>
              <w:bottom w:val="nil"/>
              <w:right w:val="nil"/>
            </w:tcBorders>
            <w:noWrap/>
            <w:vAlign w:val="center"/>
          </w:tcPr>
          <w:p w:rsidR="009072DB" w:rsidRPr="009C238A" w:rsidRDefault="009072DB" w:rsidP="009072DB">
            <w:pPr>
              <w:jc w:val="right"/>
              <w:rPr>
                <w:sz w:val="20"/>
                <w:szCs w:val="20"/>
                <w:lang w:val="en-US"/>
              </w:rPr>
            </w:pPr>
            <w:r w:rsidRPr="009C238A">
              <w:rPr>
                <w:sz w:val="20"/>
                <w:szCs w:val="20"/>
                <w:lang w:val="en-US"/>
              </w:rPr>
              <w:t>270</w:t>
            </w:r>
          </w:p>
        </w:tc>
        <w:tc>
          <w:tcPr>
            <w:tcW w:w="583"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(7,600)</w:t>
            </w:r>
          </w:p>
        </w:tc>
        <w:tc>
          <w:tcPr>
            <w:tcW w:w="583"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w:t>
            </w:r>
          </w:p>
        </w:tc>
        <w:tc>
          <w:tcPr>
            <w:tcW w:w="581" w:type="pct"/>
            <w:tcBorders>
              <w:top w:val="nil"/>
              <w:left w:val="nil"/>
              <w:bottom w:val="nil"/>
              <w:right w:val="nil"/>
            </w:tcBorders>
            <w:shd w:val="clear" w:color="000000" w:fill="FFFFFF"/>
            <w:noWrap/>
            <w:vAlign w:val="center"/>
          </w:tcPr>
          <w:p w:rsidR="009072DB" w:rsidRPr="009C238A" w:rsidRDefault="009072DB" w:rsidP="009072DB">
            <w:pPr>
              <w:jc w:val="right"/>
              <w:rPr>
                <w:sz w:val="20"/>
                <w:szCs w:val="20"/>
                <w:lang w:val="en-US"/>
              </w:rPr>
            </w:pPr>
            <w:r w:rsidRPr="009C238A">
              <w:rPr>
                <w:sz w:val="20"/>
                <w:szCs w:val="20"/>
                <w:lang w:val="en-US"/>
              </w:rPr>
              <w:t>-</w:t>
            </w:r>
          </w:p>
        </w:tc>
      </w:tr>
      <w:tr w:rsidR="009072DB" w:rsidRPr="009C238A" w:rsidTr="009072DB">
        <w:trPr>
          <w:trHeight w:val="360"/>
        </w:trPr>
        <w:tc>
          <w:tcPr>
            <w:tcW w:w="2671" w:type="pct"/>
            <w:tcBorders>
              <w:top w:val="single" w:sz="4" w:space="0" w:color="auto"/>
              <w:left w:val="nil"/>
              <w:bottom w:val="single" w:sz="4" w:space="0" w:color="auto"/>
              <w:right w:val="nil"/>
            </w:tcBorders>
            <w:shd w:val="clear" w:color="000000" w:fill="FFFFFF"/>
            <w:noWrap/>
            <w:vAlign w:val="center"/>
          </w:tcPr>
          <w:p w:rsidR="009072DB" w:rsidRPr="009C238A" w:rsidRDefault="009072DB" w:rsidP="009072DB">
            <w:pPr>
              <w:rPr>
                <w:rFonts w:eastAsia="Arial Unicode MS"/>
                <w:b/>
                <w:bCs/>
                <w:i/>
                <w:iCs/>
                <w:sz w:val="20"/>
                <w:szCs w:val="20"/>
                <w:lang w:val="en-US"/>
              </w:rPr>
            </w:pPr>
            <w:r w:rsidRPr="009C238A">
              <w:rPr>
                <w:b/>
                <w:bCs/>
                <w:i/>
                <w:iCs/>
                <w:color w:val="000000" w:themeColor="text1"/>
                <w:sz w:val="20"/>
                <w:szCs w:val="20"/>
                <w:lang w:val="en-US"/>
              </w:rPr>
              <w:t>Net change in cash and cash equivalents</w:t>
            </w:r>
          </w:p>
        </w:tc>
        <w:tc>
          <w:tcPr>
            <w:tcW w:w="582" w:type="pct"/>
            <w:tcBorders>
              <w:top w:val="single" w:sz="4" w:space="0" w:color="auto"/>
              <w:left w:val="nil"/>
              <w:bottom w:val="single" w:sz="4" w:space="0" w:color="auto"/>
              <w:right w:val="nil"/>
            </w:tcBorders>
            <w:noWrap/>
            <w:vAlign w:val="center"/>
          </w:tcPr>
          <w:p w:rsidR="009072DB" w:rsidRPr="009C238A" w:rsidRDefault="009072DB" w:rsidP="009072DB">
            <w:pPr>
              <w:jc w:val="right"/>
              <w:rPr>
                <w:b/>
                <w:bCs/>
                <w:i/>
                <w:iCs/>
                <w:sz w:val="20"/>
                <w:szCs w:val="20"/>
                <w:lang w:val="en-US"/>
              </w:rPr>
            </w:pPr>
            <w:r w:rsidRPr="009C238A">
              <w:rPr>
                <w:b/>
                <w:bCs/>
                <w:i/>
                <w:iCs/>
                <w:sz w:val="20"/>
                <w:szCs w:val="20"/>
                <w:lang w:val="en-US"/>
              </w:rPr>
              <w:t>(12,238)</w:t>
            </w:r>
          </w:p>
        </w:tc>
        <w:tc>
          <w:tcPr>
            <w:tcW w:w="583" w:type="pct"/>
            <w:tcBorders>
              <w:top w:val="single" w:sz="4" w:space="0" w:color="auto"/>
              <w:left w:val="nil"/>
              <w:bottom w:val="single" w:sz="4" w:space="0" w:color="auto"/>
              <w:right w:val="nil"/>
            </w:tcBorders>
            <w:shd w:val="clear" w:color="000000" w:fill="FFFFFF"/>
            <w:noWrap/>
            <w:vAlign w:val="center"/>
          </w:tcPr>
          <w:p w:rsidR="009072DB" w:rsidRPr="009C238A" w:rsidRDefault="009072DB" w:rsidP="009072DB">
            <w:pPr>
              <w:jc w:val="right"/>
              <w:rPr>
                <w:b/>
                <w:bCs/>
                <w:i/>
                <w:iCs/>
                <w:sz w:val="20"/>
                <w:szCs w:val="20"/>
                <w:lang w:val="en-US"/>
              </w:rPr>
            </w:pPr>
            <w:r w:rsidRPr="009C238A">
              <w:rPr>
                <w:b/>
                <w:bCs/>
                <w:i/>
                <w:iCs/>
                <w:sz w:val="20"/>
                <w:szCs w:val="20"/>
                <w:lang w:val="en-US"/>
              </w:rPr>
              <w:t>27,610</w:t>
            </w:r>
          </w:p>
        </w:tc>
        <w:tc>
          <w:tcPr>
            <w:tcW w:w="583" w:type="pct"/>
            <w:tcBorders>
              <w:top w:val="single" w:sz="4" w:space="0" w:color="auto"/>
              <w:left w:val="nil"/>
              <w:bottom w:val="single" w:sz="4" w:space="0" w:color="auto"/>
              <w:right w:val="nil"/>
            </w:tcBorders>
            <w:shd w:val="clear" w:color="000000" w:fill="FFFFFF"/>
            <w:noWrap/>
            <w:vAlign w:val="center"/>
          </w:tcPr>
          <w:p w:rsidR="009072DB" w:rsidRPr="009C238A" w:rsidRDefault="009072DB" w:rsidP="009072DB">
            <w:pPr>
              <w:jc w:val="right"/>
              <w:rPr>
                <w:b/>
                <w:bCs/>
                <w:i/>
                <w:iCs/>
                <w:sz w:val="20"/>
                <w:szCs w:val="20"/>
                <w:lang w:val="en-US"/>
              </w:rPr>
            </w:pPr>
            <w:r w:rsidRPr="009C238A">
              <w:rPr>
                <w:b/>
                <w:bCs/>
                <w:i/>
                <w:iCs/>
                <w:sz w:val="20"/>
                <w:szCs w:val="20"/>
                <w:lang w:val="en-US"/>
              </w:rPr>
              <w:t>24,855</w:t>
            </w:r>
          </w:p>
        </w:tc>
        <w:tc>
          <w:tcPr>
            <w:tcW w:w="581" w:type="pct"/>
            <w:tcBorders>
              <w:top w:val="single" w:sz="4" w:space="0" w:color="auto"/>
              <w:left w:val="nil"/>
              <w:bottom w:val="single" w:sz="4" w:space="0" w:color="auto"/>
              <w:right w:val="nil"/>
            </w:tcBorders>
            <w:shd w:val="clear" w:color="000000" w:fill="FFFFFF"/>
            <w:noWrap/>
            <w:vAlign w:val="center"/>
          </w:tcPr>
          <w:p w:rsidR="009072DB" w:rsidRPr="009C238A" w:rsidRDefault="009072DB" w:rsidP="009072DB">
            <w:pPr>
              <w:jc w:val="right"/>
              <w:rPr>
                <w:b/>
                <w:bCs/>
                <w:i/>
                <w:iCs/>
                <w:sz w:val="20"/>
                <w:szCs w:val="20"/>
                <w:lang w:val="en-US"/>
              </w:rPr>
            </w:pPr>
            <w:r w:rsidRPr="009C238A">
              <w:rPr>
                <w:b/>
                <w:bCs/>
                <w:i/>
                <w:iCs/>
                <w:sz w:val="20"/>
                <w:szCs w:val="20"/>
                <w:lang w:val="en-US"/>
              </w:rPr>
              <w:t>21,912</w:t>
            </w:r>
          </w:p>
        </w:tc>
      </w:tr>
      <w:tr w:rsidR="009072DB" w:rsidRPr="009C238A" w:rsidTr="009072DB">
        <w:trPr>
          <w:trHeight w:val="450"/>
        </w:trPr>
        <w:tc>
          <w:tcPr>
            <w:tcW w:w="2671" w:type="pct"/>
            <w:tcBorders>
              <w:top w:val="nil"/>
              <w:left w:val="nil"/>
              <w:bottom w:val="single" w:sz="4" w:space="0" w:color="auto"/>
              <w:right w:val="nil"/>
            </w:tcBorders>
            <w:shd w:val="clear" w:color="000000" w:fill="FFFFFF"/>
            <w:noWrap/>
            <w:vAlign w:val="center"/>
          </w:tcPr>
          <w:p w:rsidR="009072DB" w:rsidRPr="009C238A" w:rsidRDefault="009072DB" w:rsidP="009072DB">
            <w:pPr>
              <w:rPr>
                <w:rFonts w:eastAsia="Arial Unicode MS"/>
                <w:b/>
                <w:bCs/>
                <w:sz w:val="20"/>
                <w:szCs w:val="20"/>
                <w:lang w:val="en-US"/>
              </w:rPr>
            </w:pPr>
            <w:r w:rsidRPr="009C238A">
              <w:rPr>
                <w:b/>
                <w:bCs/>
                <w:color w:val="000000" w:themeColor="text1"/>
                <w:sz w:val="20"/>
                <w:szCs w:val="20"/>
                <w:lang w:val="en-US"/>
              </w:rPr>
              <w:t>Cash and cash equivalents at end of period</w:t>
            </w:r>
          </w:p>
        </w:tc>
        <w:tc>
          <w:tcPr>
            <w:tcW w:w="582" w:type="pct"/>
            <w:tcBorders>
              <w:top w:val="nil"/>
              <w:left w:val="nil"/>
              <w:bottom w:val="single" w:sz="4" w:space="0" w:color="auto"/>
              <w:right w:val="nil"/>
            </w:tcBorders>
            <w:noWrap/>
            <w:vAlign w:val="center"/>
          </w:tcPr>
          <w:p w:rsidR="009072DB" w:rsidRPr="009C238A" w:rsidRDefault="009072DB" w:rsidP="009072DB">
            <w:pPr>
              <w:jc w:val="right"/>
              <w:rPr>
                <w:b/>
                <w:bCs/>
                <w:sz w:val="20"/>
                <w:szCs w:val="20"/>
                <w:lang w:val="en-US"/>
              </w:rPr>
            </w:pPr>
            <w:r w:rsidRPr="009C238A">
              <w:rPr>
                <w:b/>
                <w:bCs/>
                <w:sz w:val="20"/>
                <w:szCs w:val="20"/>
                <w:lang w:val="en-US"/>
              </w:rPr>
              <w:t>92,361</w:t>
            </w:r>
          </w:p>
        </w:tc>
        <w:tc>
          <w:tcPr>
            <w:tcW w:w="583" w:type="pct"/>
            <w:tcBorders>
              <w:top w:val="nil"/>
              <w:left w:val="nil"/>
              <w:bottom w:val="single" w:sz="4" w:space="0" w:color="auto"/>
              <w:right w:val="nil"/>
            </w:tcBorders>
            <w:shd w:val="clear" w:color="000000" w:fill="FFFFFF"/>
            <w:noWrap/>
            <w:vAlign w:val="center"/>
          </w:tcPr>
          <w:p w:rsidR="009072DB" w:rsidRPr="009C238A" w:rsidRDefault="009072DB" w:rsidP="009072DB">
            <w:pPr>
              <w:jc w:val="right"/>
              <w:rPr>
                <w:b/>
                <w:bCs/>
                <w:sz w:val="20"/>
                <w:szCs w:val="20"/>
                <w:lang w:val="en-US"/>
              </w:rPr>
            </w:pPr>
            <w:r w:rsidRPr="009C238A">
              <w:rPr>
                <w:b/>
                <w:bCs/>
                <w:sz w:val="20"/>
                <w:szCs w:val="20"/>
                <w:lang w:val="en-US"/>
              </w:rPr>
              <w:t>91,755</w:t>
            </w:r>
          </w:p>
        </w:tc>
        <w:tc>
          <w:tcPr>
            <w:tcW w:w="583" w:type="pct"/>
            <w:tcBorders>
              <w:top w:val="nil"/>
              <w:left w:val="nil"/>
              <w:bottom w:val="single" w:sz="4" w:space="0" w:color="auto"/>
              <w:right w:val="nil"/>
            </w:tcBorders>
            <w:shd w:val="clear" w:color="000000" w:fill="FFFFFF"/>
            <w:noWrap/>
            <w:vAlign w:val="center"/>
          </w:tcPr>
          <w:p w:rsidR="009072DB" w:rsidRPr="009C238A" w:rsidRDefault="009072DB" w:rsidP="009072DB">
            <w:pPr>
              <w:jc w:val="right"/>
              <w:rPr>
                <w:b/>
                <w:bCs/>
                <w:sz w:val="20"/>
                <w:szCs w:val="20"/>
                <w:lang w:val="en-US"/>
              </w:rPr>
            </w:pPr>
            <w:r w:rsidRPr="009C238A">
              <w:rPr>
                <w:b/>
                <w:bCs/>
                <w:sz w:val="20"/>
                <w:szCs w:val="20"/>
                <w:lang w:val="en-US"/>
              </w:rPr>
              <w:t>92,361</w:t>
            </w:r>
          </w:p>
        </w:tc>
        <w:tc>
          <w:tcPr>
            <w:tcW w:w="581" w:type="pct"/>
            <w:tcBorders>
              <w:top w:val="nil"/>
              <w:left w:val="nil"/>
              <w:bottom w:val="single" w:sz="4" w:space="0" w:color="auto"/>
              <w:right w:val="nil"/>
            </w:tcBorders>
            <w:shd w:val="clear" w:color="000000" w:fill="FFFFFF"/>
            <w:noWrap/>
            <w:vAlign w:val="center"/>
          </w:tcPr>
          <w:p w:rsidR="009072DB" w:rsidRPr="009C238A" w:rsidRDefault="009072DB" w:rsidP="009072DB">
            <w:pPr>
              <w:jc w:val="right"/>
              <w:rPr>
                <w:b/>
                <w:bCs/>
                <w:sz w:val="20"/>
                <w:szCs w:val="20"/>
                <w:lang w:val="en-US"/>
              </w:rPr>
            </w:pPr>
            <w:r w:rsidRPr="009C238A">
              <w:rPr>
                <w:b/>
                <w:bCs/>
                <w:sz w:val="20"/>
                <w:szCs w:val="20"/>
                <w:lang w:val="en-US"/>
              </w:rPr>
              <w:t>91,755</w:t>
            </w:r>
          </w:p>
        </w:tc>
      </w:tr>
    </w:tbl>
    <w:p w:rsidR="009072DB" w:rsidRPr="009C238A" w:rsidRDefault="009072DB" w:rsidP="009072DB">
      <w:pPr>
        <w:autoSpaceDE w:val="0"/>
        <w:autoSpaceDN w:val="0"/>
        <w:adjustRightInd w:val="0"/>
        <w:rPr>
          <w:highlight w:val="yellow"/>
          <w:lang w:val="en-US"/>
        </w:rPr>
      </w:pPr>
    </w:p>
    <w:p w:rsidR="009072DB" w:rsidRPr="009C238A" w:rsidRDefault="009072DB" w:rsidP="009072DB">
      <w:pPr>
        <w:autoSpaceDE w:val="0"/>
        <w:autoSpaceDN w:val="0"/>
        <w:adjustRightInd w:val="0"/>
        <w:jc w:val="both"/>
        <w:rPr>
          <w:lang w:val="en-US"/>
        </w:rPr>
      </w:pPr>
      <w:bookmarkStart w:id="38" w:name="_Toc236110669"/>
      <w:bookmarkEnd w:id="32"/>
      <w:bookmarkEnd w:id="33"/>
      <w:r w:rsidRPr="009C238A">
        <w:rPr>
          <w:color w:val="000000" w:themeColor="text1"/>
          <w:lang w:val="en-US"/>
        </w:rPr>
        <w:t xml:space="preserve">The </w:t>
      </w:r>
      <w:r w:rsidR="00C02A60">
        <w:rPr>
          <w:color w:val="000000" w:themeColor="text1"/>
          <w:lang w:val="en-US"/>
        </w:rPr>
        <w:t xml:space="preserve">net </w:t>
      </w:r>
      <w:r w:rsidRPr="009C238A">
        <w:rPr>
          <w:color w:val="000000" w:themeColor="text1"/>
          <w:lang w:val="en-US"/>
        </w:rPr>
        <w:t xml:space="preserve">cash flow from operating activities increased from </w:t>
      </w:r>
      <w:r w:rsidRPr="009C238A">
        <w:rPr>
          <w:lang w:val="en-US"/>
        </w:rPr>
        <w:t xml:space="preserve">84,990 </w:t>
      </w:r>
      <w:r w:rsidRPr="009C238A">
        <w:rPr>
          <w:color w:val="000000" w:themeColor="text1"/>
          <w:lang w:val="en-US"/>
        </w:rPr>
        <w:t xml:space="preserve">thousand euros in the first nine months of 2012 </w:t>
      </w:r>
      <w:r w:rsidRPr="009C238A">
        <w:rPr>
          <w:lang w:val="en-US"/>
        </w:rPr>
        <w:t xml:space="preserve">(30,072 </w:t>
      </w:r>
      <w:r w:rsidRPr="009C238A">
        <w:rPr>
          <w:color w:val="000000" w:themeColor="text1"/>
          <w:lang w:val="en-US"/>
        </w:rPr>
        <w:t xml:space="preserve">thousand euros in the third quarter of </w:t>
      </w:r>
      <w:r w:rsidRPr="009C238A">
        <w:rPr>
          <w:lang w:val="en-US"/>
        </w:rPr>
        <w:t xml:space="preserve">2012) to 85,450 </w:t>
      </w:r>
      <w:r w:rsidRPr="009C238A">
        <w:rPr>
          <w:color w:val="000000" w:themeColor="text1"/>
          <w:lang w:val="en-US"/>
        </w:rPr>
        <w:t xml:space="preserve">thousand euros in the first nine months of 2013 </w:t>
      </w:r>
      <w:r w:rsidRPr="009C238A">
        <w:rPr>
          <w:lang w:val="en-US"/>
        </w:rPr>
        <w:t xml:space="preserve">(36,706 </w:t>
      </w:r>
      <w:r w:rsidRPr="009C238A">
        <w:rPr>
          <w:color w:val="000000" w:themeColor="text1"/>
          <w:lang w:val="en-US"/>
        </w:rPr>
        <w:t xml:space="preserve">thousand euros in the third quarter of </w:t>
      </w:r>
      <w:r w:rsidRPr="009C238A">
        <w:rPr>
          <w:lang w:val="en-US"/>
        </w:rPr>
        <w:t xml:space="preserve">2013). </w:t>
      </w:r>
      <w:r w:rsidRPr="009C238A">
        <w:rPr>
          <w:color w:val="000000" w:themeColor="text1"/>
          <w:lang w:val="en-US"/>
        </w:rPr>
        <w:t xml:space="preserve">The </w:t>
      </w:r>
      <w:r w:rsidR="00826E1D">
        <w:rPr>
          <w:color w:val="000000" w:themeColor="text1"/>
          <w:lang w:val="en-US"/>
        </w:rPr>
        <w:t>cash generated by operati</w:t>
      </w:r>
      <w:r w:rsidR="00C02A60">
        <w:rPr>
          <w:color w:val="000000" w:themeColor="text1"/>
          <w:lang w:val="en-US"/>
        </w:rPr>
        <w:t>ons</w:t>
      </w:r>
      <w:r w:rsidRPr="009C238A">
        <w:rPr>
          <w:color w:val="000000" w:themeColor="text1"/>
          <w:lang w:val="en-US"/>
        </w:rPr>
        <w:t xml:space="preserve"> (net profit plus depreciation and amortization, additions to provisions and other non-cash items) was lower and equal to </w:t>
      </w:r>
      <w:r w:rsidRPr="009C238A">
        <w:rPr>
          <w:lang w:val="en-US"/>
        </w:rPr>
        <w:t xml:space="preserve">123,309 </w:t>
      </w:r>
      <w:r w:rsidRPr="009C238A">
        <w:rPr>
          <w:color w:val="000000" w:themeColor="text1"/>
          <w:lang w:val="en-US"/>
        </w:rPr>
        <w:t>thousand euros</w:t>
      </w:r>
      <w:r w:rsidRPr="009C238A">
        <w:rPr>
          <w:lang w:val="en-US"/>
        </w:rPr>
        <w:t xml:space="preserve"> compared with 128,</w:t>
      </w:r>
      <w:r w:rsidR="00422CC5">
        <w:rPr>
          <w:lang w:val="en-US"/>
        </w:rPr>
        <w:t>2</w:t>
      </w:r>
      <w:r w:rsidRPr="009C238A">
        <w:rPr>
          <w:lang w:val="en-US"/>
        </w:rPr>
        <w:t xml:space="preserve">64 </w:t>
      </w:r>
      <w:r w:rsidRPr="009C238A">
        <w:rPr>
          <w:color w:val="000000" w:themeColor="text1"/>
          <w:lang w:val="en-US"/>
        </w:rPr>
        <w:t>thousand euros in</w:t>
      </w:r>
      <w:r w:rsidRPr="009C238A">
        <w:rPr>
          <w:lang w:val="en-US"/>
        </w:rPr>
        <w:t xml:space="preserve"> the same period in 2012. T</w:t>
      </w:r>
      <w:r w:rsidRPr="009C238A">
        <w:rPr>
          <w:color w:val="000000" w:themeColor="text1"/>
          <w:lang w:val="en-US"/>
        </w:rPr>
        <w:t>he first nine months of 2013 enjoyed the collection of past-due positions owed by public entities in the countries where the Group operates</w:t>
      </w:r>
      <w:r w:rsidRPr="009C238A">
        <w:rPr>
          <w:lang w:val="en-US"/>
        </w:rPr>
        <w:t xml:space="preserve">. </w:t>
      </w:r>
      <w:r w:rsidRPr="009C238A">
        <w:rPr>
          <w:color w:val="000000" w:themeColor="text1"/>
          <w:lang w:val="en-US"/>
        </w:rPr>
        <w:t>Moreover, tax payments totaled</w:t>
      </w:r>
      <w:r w:rsidRPr="009C238A">
        <w:rPr>
          <w:lang w:val="en-US"/>
        </w:rPr>
        <w:t xml:space="preserve"> 28,624 thousand euros (42,109 thousand euros in the first nine months of 2012).</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 xml:space="preserve">Net cash used in investing activities totaled </w:t>
      </w:r>
      <w:r w:rsidRPr="009C238A">
        <w:rPr>
          <w:lang w:val="en-US"/>
        </w:rPr>
        <w:t xml:space="preserve">21,055 </w:t>
      </w:r>
      <w:r w:rsidRPr="009C238A">
        <w:rPr>
          <w:color w:val="000000" w:themeColor="text1"/>
          <w:lang w:val="en-US"/>
        </w:rPr>
        <w:t xml:space="preserve">thousand euros, compared with </w:t>
      </w:r>
      <w:r w:rsidRPr="009C238A">
        <w:rPr>
          <w:lang w:val="en-US"/>
        </w:rPr>
        <w:t xml:space="preserve">21,464 </w:t>
      </w:r>
      <w:r w:rsidRPr="009C238A">
        <w:rPr>
          <w:color w:val="000000" w:themeColor="text1"/>
          <w:lang w:val="en-US"/>
        </w:rPr>
        <w:t>thousand euros in the first nine months of 2012. Capital expenditures for medical equipment amounted to</w:t>
      </w:r>
      <w:r w:rsidRPr="009C238A">
        <w:rPr>
          <w:lang w:val="en-US"/>
        </w:rPr>
        <w:t xml:space="preserve"> 14,428 </w:t>
      </w:r>
      <w:r w:rsidRPr="009C238A">
        <w:rPr>
          <w:color w:val="000000" w:themeColor="text1"/>
          <w:lang w:val="en-US"/>
        </w:rPr>
        <w:t>thousand euros</w:t>
      </w:r>
      <w:r w:rsidRPr="009C238A">
        <w:rPr>
          <w:lang w:val="en-US"/>
        </w:rPr>
        <w:t xml:space="preserve"> (5,401 </w:t>
      </w:r>
      <w:r w:rsidRPr="009C238A">
        <w:rPr>
          <w:color w:val="000000" w:themeColor="text1"/>
          <w:lang w:val="en-US"/>
        </w:rPr>
        <w:t>thousand euros in the third quarter of 2013</w:t>
      </w:r>
      <w:r w:rsidRPr="009C238A">
        <w:rPr>
          <w:lang w:val="en-US"/>
        </w:rPr>
        <w:t xml:space="preserve">), substantially in line with 2012 (14,901 thousand euros in the first nine months of 2012 and 5,460 thousand euros in the third quarter of 2012). </w:t>
      </w:r>
      <w:r w:rsidRPr="009C238A">
        <w:rPr>
          <w:color w:val="000000" w:themeColor="text1"/>
          <w:lang w:val="en-US"/>
        </w:rPr>
        <w:t xml:space="preserve">In addition, development costs of </w:t>
      </w:r>
      <w:r w:rsidRPr="009C238A">
        <w:rPr>
          <w:lang w:val="en-US"/>
        </w:rPr>
        <w:t xml:space="preserve">2,344 thousand euros (830 thousand euros in the third quarter of 2013) were capitalized in the first nine months of 2013, compared with 2,723 thousand euros in 2012 (1,073 thousand euros in the third quarter of 2012), </w:t>
      </w:r>
      <w:r w:rsidRPr="009C238A">
        <w:rPr>
          <w:color w:val="000000" w:themeColor="text1"/>
          <w:lang w:val="en-US"/>
        </w:rPr>
        <w:t>mainly in connection with investments in molecular diagnostics.</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 xml:space="preserve">The cash used for financing activities totaled 76,903 thousand euros (28,316 in the same period last year). It was used mainly for </w:t>
      </w:r>
      <w:r w:rsidR="00BD573A">
        <w:rPr>
          <w:color w:val="000000" w:themeColor="text1"/>
          <w:lang w:val="en-US"/>
        </w:rPr>
        <w:t xml:space="preserve">a </w:t>
      </w:r>
      <w:r w:rsidRPr="009C238A">
        <w:rPr>
          <w:color w:val="000000" w:themeColor="text1"/>
          <w:lang w:val="en-US"/>
        </w:rPr>
        <w:t>dividend distribution of 72,257 thousand euros (including 45,080 thousand euros for an extraordinary dividend distribution occurred at the beginning of 2013) and repayments of financing facilities amounting to 4,190 thousand euros.</w:t>
      </w:r>
    </w:p>
    <w:p w:rsidR="00BD573A" w:rsidRDefault="009072DB" w:rsidP="00BD573A">
      <w:pPr>
        <w:spacing w:before="240" w:line="240" w:lineRule="atLeast"/>
        <w:ind w:right="-54"/>
        <w:jc w:val="both"/>
        <w:rPr>
          <w:color w:val="000000" w:themeColor="text1"/>
          <w:lang w:val="en-US"/>
        </w:rPr>
      </w:pPr>
      <w:r w:rsidRPr="009C238A">
        <w:rPr>
          <w:color w:val="000000" w:themeColor="text1"/>
          <w:lang w:val="en-US"/>
        </w:rPr>
        <w:t>Moreover, in May the Group cashed 270 thousand euros to adjust Nordiag business cost, acquired last year.</w:t>
      </w:r>
      <w:bookmarkStart w:id="39" w:name="_Toc237667814"/>
      <w:bookmarkStart w:id="40" w:name="_Toc245738348"/>
      <w:bookmarkStart w:id="41" w:name="_Toc362883833"/>
    </w:p>
    <w:p w:rsidR="009072DB" w:rsidRPr="00BD573A" w:rsidRDefault="00CF1FAC" w:rsidP="00BD573A">
      <w:pPr>
        <w:spacing w:before="240" w:line="240" w:lineRule="atLeast"/>
        <w:ind w:right="-54"/>
        <w:jc w:val="both"/>
        <w:rPr>
          <w:color w:val="000000" w:themeColor="text1"/>
          <w:lang w:val="en-US"/>
        </w:rPr>
      </w:pPr>
      <w:r>
        <w:rPr>
          <w:lang w:val="en-US"/>
        </w:rPr>
        <w:t>C</w:t>
      </w:r>
      <w:r w:rsidRPr="00CF1FAC">
        <w:rPr>
          <w:lang w:val="en-US"/>
        </w:rPr>
        <w:t xml:space="preserve">ash and cash equivalents at </w:t>
      </w:r>
      <w:r w:rsidRPr="00902174">
        <w:rPr>
          <w:lang w:val="en-US"/>
        </w:rPr>
        <w:t>September 30, 2013</w:t>
      </w:r>
      <w:r>
        <w:rPr>
          <w:lang w:val="en-US"/>
        </w:rPr>
        <w:t xml:space="preserve"> </w:t>
      </w:r>
      <w:r w:rsidR="009072DB" w:rsidRPr="00902174">
        <w:rPr>
          <w:lang w:val="en-US"/>
        </w:rPr>
        <w:t>totaled 92,361 thousand euros down from 104,599 thousand euros at the end of 2012.</w:t>
      </w:r>
      <w:bookmarkEnd w:id="39"/>
      <w:bookmarkEnd w:id="40"/>
    </w:p>
    <w:p w:rsidR="009072DB" w:rsidRPr="009C238A" w:rsidRDefault="009072DB" w:rsidP="009072DB">
      <w:pPr>
        <w:rPr>
          <w:b/>
          <w:bCs/>
          <w:smallCaps/>
          <w:lang w:val="en-US" w:eastAsia="en-US"/>
        </w:rPr>
      </w:pPr>
      <w:r w:rsidRPr="009C238A">
        <w:rPr>
          <w:smallCaps/>
          <w:lang w:val="en-US"/>
        </w:rPr>
        <w:br w:type="page"/>
      </w:r>
    </w:p>
    <w:p w:rsidR="009072DB" w:rsidRPr="006D71EB" w:rsidRDefault="009072DB" w:rsidP="009072DB">
      <w:pPr>
        <w:pStyle w:val="Titolo2"/>
        <w:tabs>
          <w:tab w:val="clear" w:pos="576"/>
        </w:tabs>
        <w:ind w:left="0" w:firstLine="0"/>
        <w:rPr>
          <w:b/>
          <w:smallCaps/>
        </w:rPr>
      </w:pPr>
      <w:bookmarkStart w:id="42" w:name="_Toc245738349"/>
      <w:bookmarkStart w:id="43" w:name="_Toc245837750"/>
      <w:bookmarkEnd w:id="38"/>
      <w:bookmarkEnd w:id="41"/>
      <w:r w:rsidRPr="006D71EB">
        <w:rPr>
          <w:b/>
          <w:smallCaps/>
        </w:rPr>
        <w:lastRenderedPageBreak/>
        <w:t>OTHER INFORMATION</w:t>
      </w:r>
      <w:bookmarkEnd w:id="42"/>
      <w:bookmarkEnd w:id="43"/>
    </w:p>
    <w:p w:rsidR="009072DB" w:rsidRPr="009C238A" w:rsidRDefault="009072DB" w:rsidP="009072DB">
      <w:pPr>
        <w:spacing w:before="240" w:after="240" w:line="240" w:lineRule="atLeast"/>
        <w:ind w:right="-54"/>
        <w:jc w:val="both"/>
        <w:rPr>
          <w:i/>
          <w:highlight w:val="yellow"/>
          <w:lang w:val="en-US"/>
        </w:rPr>
      </w:pPr>
      <w:r w:rsidRPr="009C238A">
        <w:rPr>
          <w:lang w:val="en-US"/>
        </w:rPr>
        <w:t>The Group totaled 1,608 employees at September 30, 2013 (1,553 at December 31, 2012).</w:t>
      </w:r>
      <w:r w:rsidRPr="009C238A">
        <w:rPr>
          <w:i/>
          <w:highlight w:val="yellow"/>
          <w:lang w:val="en-US"/>
        </w:rPr>
        <w:t xml:space="preserve"> </w:t>
      </w:r>
    </w:p>
    <w:p w:rsidR="009072DB" w:rsidRPr="009C238A" w:rsidRDefault="009072DB" w:rsidP="009072DB">
      <w:pPr>
        <w:rPr>
          <w:bCs/>
          <w:lang w:val="en-US"/>
        </w:rPr>
      </w:pPr>
      <w:r w:rsidRPr="009C238A">
        <w:rPr>
          <w:bCs/>
          <w:lang w:val="en-US"/>
        </w:rPr>
        <w:br w:type="page"/>
      </w:r>
    </w:p>
    <w:p w:rsidR="009072DB" w:rsidRPr="009C238A" w:rsidRDefault="009072DB" w:rsidP="006D52F2">
      <w:pPr>
        <w:pStyle w:val="Titolo1"/>
      </w:pPr>
      <w:bookmarkStart w:id="44" w:name="_Toc230418842"/>
      <w:bookmarkStart w:id="45" w:name="_Toc230421660"/>
      <w:bookmarkStart w:id="46" w:name="_Toc245837751"/>
      <w:r w:rsidRPr="009C238A">
        <w:lastRenderedPageBreak/>
        <w:t>TRANSACTIONS WITH RELATED PARTIES</w:t>
      </w:r>
      <w:bookmarkEnd w:id="44"/>
      <w:bookmarkEnd w:id="45"/>
      <w:bookmarkEnd w:id="46"/>
    </w:p>
    <w:p w:rsidR="009072DB" w:rsidRPr="009C238A" w:rsidRDefault="009072DB" w:rsidP="006D52F2">
      <w:pPr>
        <w:pStyle w:val="Titolo1"/>
      </w:pPr>
    </w:p>
    <w:p w:rsidR="009072DB" w:rsidRPr="009C238A" w:rsidRDefault="009072DB" w:rsidP="009072DB">
      <w:pPr>
        <w:widowControl w:val="0"/>
        <w:autoSpaceDE w:val="0"/>
        <w:autoSpaceDN w:val="0"/>
        <w:adjustRightInd w:val="0"/>
        <w:jc w:val="both"/>
        <w:rPr>
          <w:color w:val="000000"/>
          <w:lang w:val="en-US"/>
        </w:rPr>
      </w:pPr>
      <w:r w:rsidRPr="009C238A">
        <w:rPr>
          <w:color w:val="000000"/>
          <w:lang w:val="en-US"/>
        </w:rPr>
        <w:t>In the</w:t>
      </w:r>
      <w:r w:rsidR="006D52F2">
        <w:rPr>
          <w:color w:val="000000"/>
          <w:lang w:val="en-US"/>
        </w:rPr>
        <w:t xml:space="preserve"> normal course of business, Dias</w:t>
      </w:r>
      <w:r w:rsidRPr="009C238A">
        <w:rPr>
          <w:color w:val="000000"/>
          <w:lang w:val="en-US"/>
        </w:rPr>
        <w:t xml:space="preserve">orin S.p.A. engages on a regular basis in commercial and financial transactions with its subsidiaries, which are also Group companies. These transactions, which are part of the Group’s regular operations and are executed on standard market terms, consist of the supply of goods and services, including administrative, information technology, personnel management, technical support and consulting services, which produce receivables and payables at the end of the year, and financing and cash management transactions, which produce income and expenses. </w:t>
      </w:r>
    </w:p>
    <w:p w:rsidR="009072DB" w:rsidRPr="009C238A" w:rsidRDefault="009072DB" w:rsidP="009072DB">
      <w:pPr>
        <w:tabs>
          <w:tab w:val="left" w:pos="851"/>
          <w:tab w:val="left" w:pos="1134"/>
          <w:tab w:val="left" w:pos="8789"/>
        </w:tabs>
        <w:ind w:right="-1"/>
        <w:jc w:val="both"/>
        <w:rPr>
          <w:lang w:val="en-US"/>
        </w:rPr>
      </w:pPr>
    </w:p>
    <w:p w:rsidR="009072DB" w:rsidRPr="009C238A" w:rsidRDefault="009072DB" w:rsidP="009072DB">
      <w:pPr>
        <w:tabs>
          <w:tab w:val="left" w:pos="851"/>
          <w:tab w:val="left" w:pos="1134"/>
          <w:tab w:val="left" w:pos="8789"/>
        </w:tabs>
        <w:ind w:right="-1"/>
        <w:jc w:val="both"/>
        <w:rPr>
          <w:color w:val="000000"/>
          <w:lang w:val="en-US"/>
        </w:rPr>
      </w:pPr>
      <w:r w:rsidRPr="009C238A">
        <w:rPr>
          <w:color w:val="000000"/>
          <w:lang w:val="en-US"/>
        </w:rPr>
        <w:t>These transactions are eliminated in the consolidation process and, consequently, are not discussed in this section of this Report.</w:t>
      </w:r>
    </w:p>
    <w:p w:rsidR="009072DB" w:rsidRPr="009C238A" w:rsidRDefault="009072DB" w:rsidP="009072DB">
      <w:pPr>
        <w:tabs>
          <w:tab w:val="left" w:pos="851"/>
          <w:tab w:val="left" w:pos="1134"/>
          <w:tab w:val="left" w:pos="8789"/>
        </w:tabs>
        <w:ind w:right="-1"/>
        <w:jc w:val="both"/>
        <w:rPr>
          <w:highlight w:val="yellow"/>
          <w:lang w:val="en-US"/>
        </w:rPr>
      </w:pPr>
    </w:p>
    <w:p w:rsidR="009072DB" w:rsidRPr="009C238A" w:rsidRDefault="009072DB" w:rsidP="009072DB">
      <w:pPr>
        <w:autoSpaceDE w:val="0"/>
        <w:autoSpaceDN w:val="0"/>
        <w:adjustRightInd w:val="0"/>
        <w:jc w:val="both"/>
        <w:rPr>
          <w:lang w:val="en-US"/>
        </w:rPr>
      </w:pPr>
      <w:r w:rsidRPr="009C238A">
        <w:rPr>
          <w:lang w:val="en-US"/>
        </w:rPr>
        <w:t>The Group awards additional benefits to se</w:t>
      </w:r>
      <w:r w:rsidR="00F560BF" w:rsidRPr="009C238A">
        <w:rPr>
          <w:lang w:val="en-US"/>
        </w:rPr>
        <w:t>veral eligible employees of Dias</w:t>
      </w:r>
      <w:r w:rsidRPr="009C238A">
        <w:rPr>
          <w:lang w:val="en-US"/>
        </w:rPr>
        <w:t>orin S.p.A. and other Group companies</w:t>
      </w:r>
      <w:r w:rsidRPr="009C238A" w:rsidDel="003477C9">
        <w:rPr>
          <w:lang w:val="en-US"/>
        </w:rPr>
        <w:t xml:space="preserve"> </w:t>
      </w:r>
      <w:r w:rsidRPr="009C238A">
        <w:rPr>
          <w:lang w:val="en-US"/>
        </w:rPr>
        <w:t>through a stock option plan. The costs incurred in connection with this plan totaled 1,107 thousand euros in the first nine months of 2013 (1,312 thousand euros in 2012) and 370 thousand euros in the third quarter of 2013 (448 thousand euros in the third quarter of 2012).</w:t>
      </w:r>
    </w:p>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color w:val="000000"/>
          <w:lang w:val="en-US" w:eastAsia="en-US"/>
        </w:rPr>
      </w:pPr>
    </w:p>
    <w:p w:rsidR="009072DB" w:rsidRPr="009C238A" w:rsidRDefault="009072DB" w:rsidP="009072DB">
      <w:pPr>
        <w:autoSpaceDE w:val="0"/>
        <w:autoSpaceDN w:val="0"/>
        <w:adjustRightInd w:val="0"/>
        <w:jc w:val="both"/>
        <w:rPr>
          <w:color w:val="000000"/>
          <w:lang w:val="en-US"/>
        </w:rPr>
      </w:pPr>
      <w:r w:rsidRPr="009C238A">
        <w:rPr>
          <w:color w:val="000000"/>
          <w:lang w:val="en-US"/>
        </w:rPr>
        <w:t>The compensation payable to the key management and strategic management is consistent with standard market terms for compensation offered to employees with a similar status.</w:t>
      </w:r>
    </w:p>
    <w:p w:rsidR="009072DB" w:rsidRPr="009C238A" w:rsidRDefault="009072DB" w:rsidP="009072DB">
      <w:pPr>
        <w:tabs>
          <w:tab w:val="left" w:pos="851"/>
          <w:tab w:val="left" w:pos="1134"/>
          <w:tab w:val="left" w:pos="8789"/>
        </w:tabs>
        <w:ind w:right="-1"/>
        <w:jc w:val="both"/>
        <w:rPr>
          <w:lang w:val="en-US"/>
        </w:rPr>
      </w:pPr>
    </w:p>
    <w:p w:rsidR="009072DB" w:rsidRPr="009C238A" w:rsidRDefault="009072DB" w:rsidP="009072DB">
      <w:pPr>
        <w:tabs>
          <w:tab w:val="left" w:pos="851"/>
          <w:tab w:val="left" w:pos="1134"/>
          <w:tab w:val="left" w:pos="8789"/>
        </w:tabs>
        <w:ind w:right="-1"/>
        <w:jc w:val="both"/>
        <w:rPr>
          <w:lang w:val="en-US"/>
        </w:rPr>
      </w:pPr>
    </w:p>
    <w:p w:rsidR="009072DB" w:rsidRPr="009C238A" w:rsidRDefault="009072DB" w:rsidP="009072DB">
      <w:pPr>
        <w:tabs>
          <w:tab w:val="left" w:pos="851"/>
          <w:tab w:val="left" w:pos="1134"/>
          <w:tab w:val="left" w:pos="8789"/>
        </w:tabs>
        <w:ind w:right="-1"/>
        <w:jc w:val="both"/>
        <w:rPr>
          <w:highlight w:val="yellow"/>
          <w:lang w:val="en-US"/>
        </w:rPr>
      </w:pPr>
    </w:p>
    <w:p w:rsidR="009072DB" w:rsidRPr="009C238A" w:rsidRDefault="009072DB" w:rsidP="009072DB">
      <w:pPr>
        <w:rPr>
          <w:b/>
          <w:bCs/>
          <w:smallCaps/>
          <w:sz w:val="28"/>
          <w:szCs w:val="28"/>
          <w:lang w:val="en-US" w:eastAsia="en-US"/>
        </w:rPr>
      </w:pPr>
      <w:r w:rsidRPr="009C238A">
        <w:rPr>
          <w:smallCaps/>
          <w:sz w:val="28"/>
          <w:szCs w:val="28"/>
          <w:lang w:val="en-US"/>
        </w:rPr>
        <w:br w:type="page"/>
      </w:r>
    </w:p>
    <w:p w:rsidR="009072DB" w:rsidRPr="009C238A" w:rsidRDefault="009072DB" w:rsidP="006D52F2">
      <w:pPr>
        <w:pStyle w:val="Titolo1"/>
      </w:pPr>
      <w:bookmarkStart w:id="47" w:name="_Toc230421661"/>
      <w:bookmarkStart w:id="48" w:name="_Toc245837752"/>
      <w:r w:rsidRPr="009C238A">
        <w:lastRenderedPageBreak/>
        <w:t>SIGNIFICANT EVENTS OCCURRING AFTER NOVEMBER 30, 2013 AND BUSINESS OUTLOOK</w:t>
      </w:r>
      <w:bookmarkEnd w:id="47"/>
      <w:bookmarkEnd w:id="48"/>
    </w:p>
    <w:p w:rsidR="009072DB" w:rsidRPr="009C238A" w:rsidRDefault="009072DB" w:rsidP="009072DB">
      <w:pPr>
        <w:tabs>
          <w:tab w:val="left" w:pos="567"/>
          <w:tab w:val="left" w:pos="1134"/>
          <w:tab w:val="left" w:pos="1702"/>
          <w:tab w:val="left" w:pos="2269"/>
          <w:tab w:val="left" w:pos="2835"/>
          <w:tab w:val="left" w:pos="3402"/>
          <w:tab w:val="left" w:pos="3969"/>
        </w:tabs>
        <w:ind w:right="-1"/>
        <w:jc w:val="both"/>
        <w:rPr>
          <w:bCs/>
          <w:lang w:val="en-US"/>
        </w:rPr>
      </w:pPr>
    </w:p>
    <w:p w:rsidR="009072DB" w:rsidRPr="009C238A" w:rsidRDefault="009072DB" w:rsidP="009072DB">
      <w:pPr>
        <w:pStyle w:val="Default"/>
        <w:jc w:val="both"/>
        <w:rPr>
          <w:rFonts w:ascii="Times New Roman" w:eastAsiaTheme="minorEastAsia" w:cs="Times New Roman"/>
          <w:lang w:val="en-US"/>
        </w:rPr>
      </w:pPr>
      <w:r w:rsidRPr="009C238A">
        <w:rPr>
          <w:rFonts w:ascii="Times New Roman" w:cs="Times New Roman"/>
          <w:lang w:val="en-US"/>
        </w:rPr>
        <w:t xml:space="preserve">In October, Diasorin announced the launch of the new LIAISON XL Chagas test for the qualitative detection of the antibodies to </w:t>
      </w:r>
      <w:r w:rsidRPr="009C238A">
        <w:rPr>
          <w:rFonts w:ascii="Times New Roman" w:cs="Times New Roman"/>
          <w:i/>
          <w:lang w:val="en-US"/>
        </w:rPr>
        <w:t>Trypanosoma cruzi (T.cruzi)</w:t>
      </w:r>
      <w:r w:rsidRPr="009C238A">
        <w:rPr>
          <w:rFonts w:ascii="Times New Roman" w:cs="Times New Roman"/>
          <w:lang w:val="en-US"/>
        </w:rPr>
        <w:t xml:space="preserve"> </w:t>
      </w:r>
      <w:r w:rsidRPr="009C238A">
        <w:rPr>
          <w:rFonts w:ascii="Times New Roman" w:eastAsiaTheme="minorEastAsia" w:cs="Times New Roman"/>
          <w:lang w:val="en-US"/>
        </w:rPr>
        <w:t xml:space="preserve">in human serum and plasma for the market </w:t>
      </w:r>
      <w:r w:rsidRPr="009C238A">
        <w:rPr>
          <w:rFonts w:ascii="Times New Roman" w:eastAsiaTheme="minorEastAsia" w:cs="Times New Roman"/>
          <w:bCs/>
          <w:lang w:val="en-US"/>
        </w:rPr>
        <w:t>outside the US and Canada only</w:t>
      </w:r>
      <w:r w:rsidRPr="009C238A">
        <w:rPr>
          <w:rFonts w:ascii="Times New Roman" w:eastAsiaTheme="minorEastAsia" w:cs="Times New Roman"/>
          <w:lang w:val="en-US"/>
        </w:rPr>
        <w:t>.</w:t>
      </w:r>
    </w:p>
    <w:p w:rsidR="009072DB" w:rsidRPr="009C238A" w:rsidRDefault="009072DB" w:rsidP="009072DB">
      <w:pPr>
        <w:pStyle w:val="Default"/>
        <w:jc w:val="both"/>
        <w:rPr>
          <w:rFonts w:ascii="Times New Roman" w:eastAsiaTheme="minorEastAsia" w:cs="Times New Roman"/>
          <w:lang w:val="en-US"/>
        </w:rPr>
      </w:pPr>
      <w:r w:rsidRPr="009C238A">
        <w:rPr>
          <w:rFonts w:ascii="Times New Roman" w:eastAsiaTheme="minorEastAsia" w:cs="Times New Roman"/>
          <w:lang w:val="en-US"/>
        </w:rPr>
        <w:t xml:space="preserve">The </w:t>
      </w:r>
      <w:r w:rsidRPr="009C238A">
        <w:rPr>
          <w:rFonts w:ascii="Times New Roman" w:eastAsiaTheme="minorEastAsia" w:cs="Times New Roman"/>
          <w:bCs/>
          <w:lang w:val="en-US"/>
        </w:rPr>
        <w:t xml:space="preserve">Chagas </w:t>
      </w:r>
      <w:r w:rsidRPr="009C238A">
        <w:rPr>
          <w:rFonts w:ascii="Times New Roman" w:eastAsiaTheme="minorEastAsia" w:cs="Times New Roman"/>
          <w:lang w:val="en-US"/>
        </w:rPr>
        <w:t xml:space="preserve">disease </w:t>
      </w:r>
      <w:r w:rsidRPr="009C238A">
        <w:rPr>
          <w:rFonts w:ascii="Times New Roman" w:eastAsiaTheme="minorEastAsia" w:cs="Times New Roman"/>
          <w:bCs/>
          <w:lang w:val="en-US"/>
        </w:rPr>
        <w:t>is endemic in Central and Latin American countries</w:t>
      </w:r>
      <w:r w:rsidRPr="009C238A">
        <w:rPr>
          <w:rFonts w:ascii="Times New Roman" w:eastAsiaTheme="minorEastAsia" w:cs="Times New Roman"/>
          <w:lang w:val="en-US"/>
        </w:rPr>
        <w:t xml:space="preserve">, growing also in non-endemic countries through migration of people and, becoming nowadays, an emerging health problem </w:t>
      </w:r>
      <w:r w:rsidRPr="009C238A">
        <w:rPr>
          <w:rFonts w:ascii="Times New Roman" w:eastAsiaTheme="minorEastAsia" w:cs="Times New Roman"/>
          <w:bCs/>
          <w:lang w:val="en-US"/>
        </w:rPr>
        <w:t>worldwide</w:t>
      </w:r>
      <w:r w:rsidRPr="009C238A">
        <w:rPr>
          <w:rFonts w:ascii="Times New Roman" w:eastAsiaTheme="minorEastAsia" w:cs="Times New Roman"/>
          <w:lang w:val="en-US"/>
        </w:rPr>
        <w:t>.</w:t>
      </w:r>
    </w:p>
    <w:p w:rsidR="009072DB" w:rsidRPr="009C238A" w:rsidRDefault="009072DB" w:rsidP="009072DB">
      <w:pPr>
        <w:widowControl w:val="0"/>
        <w:autoSpaceDE w:val="0"/>
        <w:autoSpaceDN w:val="0"/>
        <w:adjustRightInd w:val="0"/>
        <w:jc w:val="both"/>
        <w:rPr>
          <w:rFonts w:eastAsiaTheme="minorEastAsia"/>
          <w:color w:val="000000"/>
          <w:lang w:val="en-US"/>
        </w:rPr>
      </w:pPr>
      <w:r w:rsidRPr="009C238A">
        <w:rPr>
          <w:rFonts w:eastAsiaTheme="minorEastAsia"/>
          <w:color w:val="000000"/>
          <w:lang w:val="en-US"/>
        </w:rPr>
        <w:t xml:space="preserve">As for the </w:t>
      </w:r>
      <w:r w:rsidRPr="009C238A">
        <w:rPr>
          <w:rFonts w:eastAsiaTheme="minorEastAsia"/>
          <w:bCs/>
          <w:color w:val="000000"/>
          <w:lang w:val="en-US"/>
        </w:rPr>
        <w:t>market</w:t>
      </w:r>
      <w:r w:rsidRPr="009C238A">
        <w:rPr>
          <w:rFonts w:eastAsiaTheme="minorEastAsia"/>
          <w:color w:val="000000"/>
          <w:lang w:val="en-US"/>
        </w:rPr>
        <w:t xml:space="preserve">, according to last estimates there are around </w:t>
      </w:r>
      <w:r w:rsidRPr="009C238A">
        <w:rPr>
          <w:rFonts w:eastAsiaTheme="minorEastAsia"/>
          <w:bCs/>
          <w:color w:val="000000"/>
          <w:lang w:val="en-US"/>
        </w:rPr>
        <w:t xml:space="preserve">18 million people </w:t>
      </w:r>
      <w:r w:rsidRPr="009C238A">
        <w:rPr>
          <w:rFonts w:eastAsiaTheme="minorEastAsia"/>
          <w:color w:val="000000"/>
          <w:lang w:val="en-US"/>
        </w:rPr>
        <w:t xml:space="preserve">worldwide affected by this chronic, systemic, parasitic infection, of which about 8 million people are resident in Latin America. </w:t>
      </w:r>
    </w:p>
    <w:p w:rsidR="009072DB" w:rsidRPr="009C238A" w:rsidRDefault="009072DB" w:rsidP="009072DB">
      <w:pPr>
        <w:pStyle w:val="Default"/>
        <w:jc w:val="both"/>
        <w:rPr>
          <w:rFonts w:ascii="Times New Roman" w:eastAsiaTheme="minorEastAsia" w:cs="Times New Roman"/>
          <w:lang w:val="en-US"/>
        </w:rPr>
      </w:pPr>
      <w:r w:rsidRPr="009C238A">
        <w:rPr>
          <w:rFonts w:ascii="Times New Roman" w:eastAsiaTheme="minorEastAsia" w:cs="Times New Roman"/>
          <w:lang w:val="en-US"/>
        </w:rPr>
        <w:t xml:space="preserve">In terms of value, the </w:t>
      </w:r>
      <w:r w:rsidRPr="009C238A">
        <w:rPr>
          <w:rFonts w:ascii="Times New Roman" w:eastAsiaTheme="minorEastAsia" w:cs="Times New Roman"/>
          <w:bCs/>
          <w:lang w:val="en-US"/>
        </w:rPr>
        <w:t xml:space="preserve">current market </w:t>
      </w:r>
      <w:r w:rsidRPr="009C238A">
        <w:rPr>
          <w:rFonts w:ascii="Times New Roman" w:eastAsiaTheme="minorEastAsia" w:cs="Times New Roman"/>
          <w:lang w:val="en-US"/>
        </w:rPr>
        <w:t xml:space="preserve">is estimated </w:t>
      </w:r>
      <w:r w:rsidRPr="009C238A">
        <w:rPr>
          <w:rFonts w:ascii="Times New Roman" w:eastAsiaTheme="minorEastAsia" w:cs="Times New Roman"/>
          <w:bCs/>
          <w:lang w:val="en-US"/>
        </w:rPr>
        <w:t>around 9 million Euros</w:t>
      </w:r>
      <w:r w:rsidRPr="009C238A">
        <w:rPr>
          <w:rFonts w:ascii="Times New Roman" w:eastAsiaTheme="minorEastAsia" w:cs="Times New Roman"/>
          <w:lang w:val="en-US"/>
        </w:rPr>
        <w:t xml:space="preserve">, </w:t>
      </w:r>
      <w:r w:rsidRPr="009C238A">
        <w:rPr>
          <w:rFonts w:ascii="Times New Roman" w:eastAsiaTheme="minorEastAsia" w:cs="Times New Roman"/>
          <w:bCs/>
          <w:lang w:val="en-US"/>
        </w:rPr>
        <w:t>excluding the United States, Canada and Japan.</w:t>
      </w:r>
    </w:p>
    <w:p w:rsidR="009072DB" w:rsidRPr="009C238A" w:rsidRDefault="009072DB" w:rsidP="009072DB">
      <w:pPr>
        <w:rPr>
          <w:rFonts w:eastAsia="Arial Unicode MS"/>
          <w:lang w:val="en-US"/>
        </w:rPr>
      </w:pPr>
    </w:p>
    <w:p w:rsidR="009072DB" w:rsidRPr="009C238A" w:rsidRDefault="009072DB" w:rsidP="009072DB">
      <w:pPr>
        <w:pStyle w:val="Default"/>
        <w:jc w:val="both"/>
        <w:rPr>
          <w:rFonts w:ascii="Times New Roman" w:eastAsiaTheme="minorEastAsia" w:cs="Times New Roman"/>
          <w:lang w:val="en-US"/>
        </w:rPr>
      </w:pPr>
      <w:r w:rsidRPr="009C238A">
        <w:rPr>
          <w:rFonts w:ascii="Times New Roman" w:cs="Times New Roman"/>
          <w:lang w:val="en-US"/>
        </w:rPr>
        <w:t>In October, Diasorin lau</w:t>
      </w:r>
      <w:r w:rsidR="006D52F2">
        <w:rPr>
          <w:rFonts w:ascii="Times New Roman" w:cs="Times New Roman"/>
          <w:lang w:val="en-US"/>
        </w:rPr>
        <w:t>n</w:t>
      </w:r>
      <w:r w:rsidRPr="009C238A">
        <w:rPr>
          <w:rFonts w:ascii="Times New Roman" w:cs="Times New Roman"/>
          <w:lang w:val="en-US"/>
        </w:rPr>
        <w:t xml:space="preserve">ched </w:t>
      </w:r>
      <w:r w:rsidRPr="009C238A">
        <w:rPr>
          <w:rFonts w:ascii="Times New Roman" w:eastAsiaTheme="minorEastAsia" w:cs="Times New Roman"/>
          <w:lang w:val="en-US"/>
        </w:rPr>
        <w:t xml:space="preserve">the </w:t>
      </w:r>
      <w:r w:rsidRPr="009C238A">
        <w:rPr>
          <w:rFonts w:ascii="Times New Roman" w:eastAsiaTheme="minorEastAsia" w:cs="Times New Roman"/>
          <w:bCs/>
          <w:lang w:val="en-US"/>
        </w:rPr>
        <w:t xml:space="preserve">EHEC Toxins test on its LIAISON platform </w:t>
      </w:r>
      <w:r w:rsidRPr="009C238A">
        <w:rPr>
          <w:rFonts w:ascii="Times New Roman" w:eastAsiaTheme="minorEastAsia" w:cs="Times New Roman"/>
          <w:lang w:val="en-US"/>
        </w:rPr>
        <w:t xml:space="preserve">for the market outside the US, Canada and UK only. </w:t>
      </w:r>
      <w:r w:rsidRPr="009C238A">
        <w:rPr>
          <w:rFonts w:ascii="Times New Roman" w:eastAsiaTheme="minorEastAsia" w:cs="Times New Roman"/>
          <w:bCs/>
          <w:i/>
          <w:iCs/>
          <w:lang w:val="en-US"/>
        </w:rPr>
        <w:t xml:space="preserve">Enterohaemorrhagic E. coli </w:t>
      </w:r>
      <w:r w:rsidRPr="009C238A">
        <w:rPr>
          <w:rFonts w:ascii="Times New Roman" w:eastAsiaTheme="minorEastAsia" w:cs="Times New Roman"/>
          <w:bCs/>
          <w:lang w:val="en-US"/>
        </w:rPr>
        <w:t xml:space="preserve">is a bacterium </w:t>
      </w:r>
      <w:r w:rsidRPr="009C238A">
        <w:rPr>
          <w:rFonts w:ascii="Times New Roman" w:eastAsiaTheme="minorEastAsia" w:cs="Times New Roman"/>
          <w:lang w:val="en-US"/>
        </w:rPr>
        <w:t xml:space="preserve">that can cause severe foodborne disease. The launch of the new LIAISON EHEC toxins assay provides a </w:t>
      </w:r>
      <w:r w:rsidRPr="009C238A">
        <w:rPr>
          <w:rFonts w:ascii="Times New Roman" w:eastAsiaTheme="minorEastAsia" w:cs="Times New Roman"/>
          <w:bCs/>
          <w:lang w:val="en-US"/>
        </w:rPr>
        <w:t xml:space="preserve">complete, automatic and consolidated solution </w:t>
      </w:r>
      <w:r w:rsidRPr="009C238A">
        <w:rPr>
          <w:rFonts w:ascii="Times New Roman" w:eastAsiaTheme="minorEastAsia" w:cs="Times New Roman"/>
          <w:lang w:val="en-US"/>
        </w:rPr>
        <w:t xml:space="preserve">to a new potential clients base where manual labor is still the most common and problematic solution. </w:t>
      </w:r>
    </w:p>
    <w:p w:rsidR="009072DB" w:rsidRPr="009C238A" w:rsidRDefault="009072DB" w:rsidP="009072DB">
      <w:pPr>
        <w:pStyle w:val="Default"/>
        <w:jc w:val="both"/>
        <w:rPr>
          <w:rFonts w:ascii="Times New Roman" w:eastAsiaTheme="minorEastAsia" w:cs="Times New Roman"/>
          <w:lang w:val="en-US"/>
        </w:rPr>
      </w:pPr>
      <w:r w:rsidRPr="009C238A">
        <w:rPr>
          <w:rFonts w:ascii="Times New Roman" w:eastAsiaTheme="minorEastAsia" w:cs="Times New Roman"/>
          <w:lang w:val="en-US"/>
        </w:rPr>
        <w:t xml:space="preserve">This test is an </w:t>
      </w:r>
      <w:r w:rsidRPr="009C238A">
        <w:rPr>
          <w:rFonts w:ascii="Times New Roman" w:eastAsiaTheme="minorEastAsia" w:cs="Times New Roman"/>
          <w:bCs/>
          <w:lang w:val="en-US"/>
        </w:rPr>
        <w:t xml:space="preserve">addition to the DiaSorin’s stool menu already available on the market </w:t>
      </w:r>
      <w:r w:rsidRPr="009C238A">
        <w:rPr>
          <w:rFonts w:ascii="Times New Roman" w:eastAsiaTheme="minorEastAsia" w:cs="Times New Roman"/>
          <w:lang w:val="en-US"/>
        </w:rPr>
        <w:t>(</w:t>
      </w:r>
      <w:r w:rsidRPr="009C238A">
        <w:rPr>
          <w:rFonts w:ascii="Times New Roman" w:eastAsiaTheme="minorEastAsia" w:cs="Times New Roman"/>
          <w:i/>
          <w:iCs/>
          <w:lang w:val="en-US"/>
        </w:rPr>
        <w:t>C. difficile Toxin A&amp;B, C. difficile GDH, H. Pylori</w:t>
      </w:r>
      <w:r w:rsidRPr="009C238A">
        <w:rPr>
          <w:rFonts w:ascii="Times New Roman" w:eastAsiaTheme="minorEastAsia" w:cs="Times New Roman"/>
          <w:lang w:val="en-US"/>
        </w:rPr>
        <w:t xml:space="preserve">) and shows our commitment to rapidly increase the stool panel that establishes </w:t>
      </w:r>
      <w:r w:rsidRPr="009C238A">
        <w:rPr>
          <w:rFonts w:ascii="Times New Roman" w:eastAsiaTheme="minorEastAsia" w:cs="Times New Roman"/>
          <w:bCs/>
          <w:lang w:val="en-US"/>
        </w:rPr>
        <w:t xml:space="preserve">Diasorin as a key player </w:t>
      </w:r>
      <w:r w:rsidRPr="009C238A">
        <w:rPr>
          <w:rFonts w:ascii="Times New Roman" w:eastAsiaTheme="minorEastAsia" w:cs="Times New Roman"/>
          <w:lang w:val="en-US"/>
        </w:rPr>
        <w:t>in this microbiology field.</w:t>
      </w:r>
    </w:p>
    <w:p w:rsidR="009072DB" w:rsidRPr="009C238A" w:rsidRDefault="009072DB" w:rsidP="009072DB">
      <w:pPr>
        <w:rPr>
          <w:rFonts w:eastAsia="Arial Unicode MS"/>
          <w:lang w:val="en-US"/>
        </w:rPr>
      </w:pPr>
    </w:p>
    <w:p w:rsidR="009072DB" w:rsidRPr="009C238A" w:rsidRDefault="009072DB" w:rsidP="009072DB">
      <w:pPr>
        <w:pStyle w:val="Default"/>
        <w:jc w:val="both"/>
        <w:rPr>
          <w:rFonts w:ascii="Times New Roman" w:eastAsiaTheme="minorEastAsia" w:cs="Times New Roman"/>
          <w:lang w:val="en-US"/>
        </w:rPr>
      </w:pPr>
      <w:r w:rsidRPr="009C238A">
        <w:rPr>
          <w:rFonts w:ascii="Times New Roman" w:cs="Times New Roman"/>
          <w:lang w:val="en-US"/>
        </w:rPr>
        <w:t xml:space="preserve">Diasorin </w:t>
      </w:r>
      <w:r w:rsidRPr="009C238A">
        <w:rPr>
          <w:rFonts w:ascii="Times New Roman" w:eastAsiaTheme="minorEastAsia" w:cs="Times New Roman"/>
          <w:lang w:val="en-US"/>
        </w:rPr>
        <w:t xml:space="preserve">signed </w:t>
      </w:r>
      <w:r w:rsidRPr="009C238A">
        <w:rPr>
          <w:rFonts w:ascii="Times New Roman" w:eastAsiaTheme="minorEastAsia" w:cs="Times New Roman"/>
          <w:bCs/>
          <w:lang w:val="en-US"/>
        </w:rPr>
        <w:t xml:space="preserve">a 5-year agreement </w:t>
      </w:r>
      <w:r w:rsidRPr="009C238A">
        <w:rPr>
          <w:rFonts w:ascii="Times New Roman" w:eastAsiaTheme="minorEastAsia" w:cs="Times New Roman"/>
          <w:lang w:val="en-US"/>
        </w:rPr>
        <w:t xml:space="preserve">with </w:t>
      </w:r>
      <w:r w:rsidRPr="009C238A">
        <w:rPr>
          <w:rFonts w:ascii="Times New Roman" w:eastAsiaTheme="minorEastAsia" w:cs="Times New Roman"/>
          <w:bCs/>
          <w:lang w:val="en-US"/>
        </w:rPr>
        <w:t>Roche</w:t>
      </w:r>
      <w:r w:rsidRPr="009C238A">
        <w:rPr>
          <w:rFonts w:ascii="Times New Roman" w:eastAsiaTheme="minorEastAsia" w:cs="Times New Roman"/>
          <w:lang w:val="en-US"/>
        </w:rPr>
        <w:t xml:space="preserve"> to allow the connectivity of the </w:t>
      </w:r>
      <w:r w:rsidRPr="009C238A">
        <w:rPr>
          <w:rFonts w:ascii="Times New Roman" w:eastAsiaTheme="minorEastAsia" w:cs="Times New Roman"/>
          <w:bCs/>
          <w:lang w:val="en-US"/>
        </w:rPr>
        <w:t xml:space="preserve">LIAISON XL </w:t>
      </w:r>
      <w:r w:rsidRPr="009C238A">
        <w:rPr>
          <w:rFonts w:ascii="Times New Roman" w:eastAsiaTheme="minorEastAsia" w:cs="Times New Roman"/>
          <w:lang w:val="en-US"/>
        </w:rPr>
        <w:t xml:space="preserve">System to the </w:t>
      </w:r>
      <w:r w:rsidRPr="009C238A">
        <w:rPr>
          <w:rFonts w:ascii="Times New Roman" w:eastAsiaTheme="minorEastAsia" w:cs="Times New Roman"/>
          <w:bCs/>
          <w:lang w:val="en-US"/>
        </w:rPr>
        <w:t xml:space="preserve">cobas 8100® automated workflow series </w:t>
      </w:r>
      <w:r w:rsidRPr="009C238A">
        <w:rPr>
          <w:rFonts w:ascii="Times New Roman" w:eastAsiaTheme="minorEastAsia" w:cs="Times New Roman"/>
          <w:lang w:val="en-US"/>
        </w:rPr>
        <w:t xml:space="preserve">in the High Volume Laboratories requesting to fully automate their diagnostic processes. </w:t>
      </w:r>
    </w:p>
    <w:p w:rsidR="009072DB" w:rsidRPr="009C238A" w:rsidRDefault="009072DB" w:rsidP="009072DB">
      <w:pPr>
        <w:widowControl w:val="0"/>
        <w:autoSpaceDE w:val="0"/>
        <w:autoSpaceDN w:val="0"/>
        <w:adjustRightInd w:val="0"/>
        <w:jc w:val="both"/>
        <w:rPr>
          <w:rFonts w:eastAsiaTheme="minorEastAsia"/>
          <w:color w:val="000000"/>
          <w:lang w:val="en-US"/>
        </w:rPr>
      </w:pPr>
      <w:r w:rsidRPr="009C238A">
        <w:rPr>
          <w:rFonts w:eastAsiaTheme="minorEastAsia"/>
          <w:color w:val="000000"/>
          <w:lang w:val="en-US"/>
        </w:rPr>
        <w:t xml:space="preserve">The agreement also </w:t>
      </w:r>
      <w:r w:rsidRPr="009C238A">
        <w:rPr>
          <w:rFonts w:eastAsiaTheme="minorEastAsia"/>
          <w:bCs/>
          <w:color w:val="000000"/>
          <w:lang w:val="en-US"/>
        </w:rPr>
        <w:t>allows Roche to exclusively represent part of the DiaSorin’s specialty assays in this market segment</w:t>
      </w:r>
      <w:r w:rsidRPr="009C238A">
        <w:rPr>
          <w:rFonts w:eastAsiaTheme="minorEastAsia"/>
          <w:color w:val="000000"/>
          <w:lang w:val="en-US"/>
        </w:rPr>
        <w:t xml:space="preserve">, in association with the Cobas 8100 platform. </w:t>
      </w:r>
    </w:p>
    <w:p w:rsidR="009072DB" w:rsidRPr="009C238A" w:rsidRDefault="009072DB" w:rsidP="009072DB">
      <w:pPr>
        <w:jc w:val="both"/>
        <w:rPr>
          <w:rFonts w:eastAsia="Arial Unicode MS"/>
          <w:lang w:val="en-US"/>
        </w:rPr>
      </w:pPr>
      <w:r w:rsidRPr="009C238A">
        <w:rPr>
          <w:rFonts w:eastAsiaTheme="minorEastAsia"/>
          <w:color w:val="000000"/>
          <w:lang w:val="en-US"/>
        </w:rPr>
        <w:t xml:space="preserve">The connectivity of the two systems is meant to </w:t>
      </w:r>
      <w:r w:rsidRPr="009C238A">
        <w:rPr>
          <w:rFonts w:eastAsiaTheme="minorEastAsia"/>
          <w:bCs/>
          <w:color w:val="000000"/>
          <w:lang w:val="en-US"/>
        </w:rPr>
        <w:t>address the rising demand of a broader and complete solution by high volume laboratories</w:t>
      </w:r>
      <w:r w:rsidRPr="009C238A">
        <w:rPr>
          <w:rFonts w:eastAsiaTheme="minorEastAsia"/>
          <w:color w:val="000000"/>
          <w:lang w:val="en-US"/>
        </w:rPr>
        <w:t>, requiring analytical set-up flexibility and a broader online menu of both routine and specialty assays.</w:t>
      </w:r>
    </w:p>
    <w:p w:rsidR="009072DB" w:rsidRPr="009C238A" w:rsidRDefault="009072DB" w:rsidP="009072DB">
      <w:pPr>
        <w:rPr>
          <w:bCs/>
          <w:lang w:val="en-US"/>
        </w:rPr>
      </w:pPr>
    </w:p>
    <w:p w:rsidR="009072DB" w:rsidRPr="009C238A" w:rsidRDefault="009072DB" w:rsidP="009072DB">
      <w:pPr>
        <w:jc w:val="both"/>
        <w:rPr>
          <w:rFonts w:eastAsia="Arial Unicode MS"/>
          <w:noProof/>
          <w:lang w:val="en-US" w:eastAsia="en-US"/>
        </w:rPr>
      </w:pPr>
      <w:r w:rsidRPr="009C238A">
        <w:rPr>
          <w:rFonts w:eastAsia="Arial Unicode MS"/>
          <w:lang w:val="en-US"/>
        </w:rPr>
        <w:t>In view of the Group’s operating performance after September, 2013 and taking into account possible evolutions of the global macroeconomic scenario and the diagnostic sector in particular, management</w:t>
      </w:r>
      <w:r w:rsidRPr="009C238A">
        <w:rPr>
          <w:rFonts w:eastAsia="Arial Unicode MS"/>
          <w:noProof/>
          <w:lang w:val="en-US" w:eastAsia="en-US"/>
        </w:rPr>
        <w:t xml:space="preserve"> confirms the guidance already provided for the 2013 reporting year: </w:t>
      </w:r>
    </w:p>
    <w:p w:rsidR="009072DB" w:rsidRPr="009C238A" w:rsidRDefault="009072DB" w:rsidP="00B7711B">
      <w:pPr>
        <w:pStyle w:val="Paragrafoelenco"/>
        <w:numPr>
          <w:ilvl w:val="0"/>
          <w:numId w:val="14"/>
        </w:numPr>
        <w:tabs>
          <w:tab w:val="left" w:pos="720"/>
          <w:tab w:val="left" w:pos="1134"/>
          <w:tab w:val="left" w:pos="1843"/>
          <w:tab w:val="left" w:pos="2269"/>
          <w:tab w:val="left" w:pos="2835"/>
          <w:tab w:val="left" w:pos="3402"/>
          <w:tab w:val="left" w:pos="3969"/>
        </w:tabs>
        <w:spacing w:before="60" w:line="260" w:lineRule="exact"/>
        <w:jc w:val="both"/>
        <w:rPr>
          <w:rFonts w:eastAsia="Arial Unicode MS"/>
          <w:noProof/>
          <w:lang w:val="en-US" w:eastAsia="en-US"/>
        </w:rPr>
      </w:pPr>
      <w:r w:rsidRPr="009C238A">
        <w:rPr>
          <w:rFonts w:eastAsia="Arial Unicode MS"/>
          <w:u w:val="single"/>
          <w:lang w:val="en-US"/>
        </w:rPr>
        <w:t>Revenues</w:t>
      </w:r>
      <w:r w:rsidRPr="009C238A">
        <w:rPr>
          <w:rFonts w:eastAsia="Arial Unicode MS"/>
          <w:lang w:val="en-US"/>
        </w:rPr>
        <w:t>: growth rate between 2% and 4% at constant exchange rate compared with 2012. Molecular business would be equal to about € 5 mln;</w:t>
      </w:r>
    </w:p>
    <w:p w:rsidR="009072DB" w:rsidRPr="009C238A" w:rsidRDefault="009072DB" w:rsidP="00B7711B">
      <w:pPr>
        <w:pStyle w:val="Paragrafoelenco"/>
        <w:numPr>
          <w:ilvl w:val="0"/>
          <w:numId w:val="14"/>
        </w:numPr>
        <w:tabs>
          <w:tab w:val="left" w:pos="720"/>
          <w:tab w:val="left" w:pos="1134"/>
          <w:tab w:val="left" w:pos="1843"/>
          <w:tab w:val="left" w:pos="2269"/>
          <w:tab w:val="left" w:pos="2835"/>
          <w:tab w:val="left" w:pos="3402"/>
          <w:tab w:val="left" w:pos="3969"/>
        </w:tabs>
        <w:spacing w:before="60" w:line="260" w:lineRule="exact"/>
        <w:jc w:val="both"/>
        <w:rPr>
          <w:rFonts w:eastAsia="Arial Unicode MS"/>
          <w:noProof/>
          <w:lang w:val="en-US" w:eastAsia="en-US"/>
        </w:rPr>
      </w:pPr>
      <w:r w:rsidRPr="009C238A">
        <w:rPr>
          <w:rFonts w:eastAsia="Arial Unicode MS"/>
          <w:u w:val="single"/>
          <w:lang w:val="en-US"/>
        </w:rPr>
        <w:t>EBITDA</w:t>
      </w:r>
      <w:r w:rsidRPr="009C238A">
        <w:rPr>
          <w:rFonts w:eastAsia="Arial Unicode MS"/>
          <w:lang w:val="en-US"/>
        </w:rPr>
        <w:t>: in line with the absolute value of 2012 at constant exchange rate, with an absorption from Molecular business equal to about € 6 mln, as a result of investments required in the development of the new business;</w:t>
      </w:r>
    </w:p>
    <w:p w:rsidR="009072DB" w:rsidRPr="009C238A" w:rsidRDefault="009072DB" w:rsidP="00B7711B">
      <w:pPr>
        <w:pStyle w:val="Paragrafoelenco"/>
        <w:numPr>
          <w:ilvl w:val="0"/>
          <w:numId w:val="14"/>
        </w:numPr>
        <w:tabs>
          <w:tab w:val="left" w:pos="720"/>
          <w:tab w:val="left" w:pos="1134"/>
          <w:tab w:val="left" w:pos="1843"/>
          <w:tab w:val="left" w:pos="2269"/>
          <w:tab w:val="left" w:pos="2835"/>
          <w:tab w:val="left" w:pos="3402"/>
          <w:tab w:val="left" w:pos="3969"/>
        </w:tabs>
        <w:spacing w:before="60" w:line="260" w:lineRule="exact"/>
        <w:jc w:val="both"/>
        <w:rPr>
          <w:rFonts w:eastAsia="Arial Unicode MS"/>
          <w:noProof/>
          <w:lang w:val="en-US" w:eastAsia="en-US"/>
        </w:rPr>
      </w:pPr>
      <w:r w:rsidRPr="009C238A">
        <w:rPr>
          <w:rFonts w:eastAsia="Arial Unicode MS"/>
          <w:u w:val="single"/>
          <w:lang w:val="en-US"/>
        </w:rPr>
        <w:t>LIAISON/LIAISON XL installed base</w:t>
      </w:r>
      <w:r w:rsidRPr="009C238A">
        <w:rPr>
          <w:rFonts w:eastAsia="Arial Unicode MS"/>
          <w:lang w:val="en-US"/>
        </w:rPr>
        <w:t>: about 500.</w:t>
      </w:r>
    </w:p>
    <w:p w:rsidR="009072DB" w:rsidRPr="009C238A" w:rsidRDefault="009072DB" w:rsidP="009072DB">
      <w:pPr>
        <w:pStyle w:val="Paragrafoelenco"/>
        <w:numPr>
          <w:ilvl w:val="0"/>
          <w:numId w:val="14"/>
        </w:numPr>
        <w:rPr>
          <w:rFonts w:cs="Arial"/>
          <w:lang w:val="en-US"/>
        </w:rPr>
      </w:pPr>
      <w:r w:rsidRPr="009C238A">
        <w:rPr>
          <w:rFonts w:cs="Arial"/>
          <w:lang w:val="en-US"/>
        </w:rPr>
        <w:br w:type="page"/>
      </w:r>
    </w:p>
    <w:p w:rsidR="009072DB" w:rsidRDefault="009072DB" w:rsidP="00042627">
      <w:pPr>
        <w:pStyle w:val="Titolo1"/>
      </w:pPr>
      <w:bookmarkStart w:id="49" w:name="_Toc230421662"/>
      <w:bookmarkStart w:id="50" w:name="_Toc245837753"/>
      <w:r w:rsidRPr="009C238A">
        <w:lastRenderedPageBreak/>
        <w:t>CONSOLIDATED FINANCIAL STATEMENTS OF THE DIASORIN GROUP AT SEPTEMBER 30, 2013 AND ACCOMPANYING NOTES</w:t>
      </w:r>
      <w:bookmarkEnd w:id="49"/>
      <w:bookmarkEnd w:id="50"/>
    </w:p>
    <w:p w:rsidR="00042627" w:rsidRPr="00902174" w:rsidRDefault="00042627" w:rsidP="00042627">
      <w:pPr>
        <w:rPr>
          <w:lang w:val="en-US"/>
        </w:rPr>
      </w:pPr>
    </w:p>
    <w:p w:rsidR="009072DB" w:rsidRPr="009C238A" w:rsidRDefault="009072DB" w:rsidP="009072DB">
      <w:pPr>
        <w:tabs>
          <w:tab w:val="left" w:pos="567"/>
          <w:tab w:val="left" w:pos="1134"/>
          <w:tab w:val="left" w:pos="1702"/>
          <w:tab w:val="left" w:pos="2269"/>
          <w:tab w:val="left" w:pos="2835"/>
          <w:tab w:val="left" w:pos="3402"/>
          <w:tab w:val="left" w:pos="3969"/>
        </w:tabs>
        <w:ind w:right="-1"/>
        <w:outlineLvl w:val="0"/>
        <w:rPr>
          <w:b/>
          <w:bCs/>
          <w:sz w:val="28"/>
          <w:szCs w:val="28"/>
          <w:lang w:val="en-US"/>
        </w:rPr>
      </w:pPr>
    </w:p>
    <w:p w:rsidR="009072DB" w:rsidRPr="00042627" w:rsidRDefault="009072DB" w:rsidP="00042627">
      <w:pPr>
        <w:pStyle w:val="Titolo2"/>
        <w:rPr>
          <w:b/>
        </w:rPr>
      </w:pPr>
      <w:bookmarkStart w:id="51" w:name="_Toc230421663"/>
      <w:r w:rsidRPr="009C238A">
        <w:t xml:space="preserve">                    </w:t>
      </w:r>
      <w:r w:rsidR="00042627">
        <w:t xml:space="preserve">                      </w:t>
      </w:r>
      <w:bookmarkStart w:id="52" w:name="_Toc245837754"/>
      <w:r w:rsidRPr="00042627">
        <w:rPr>
          <w:b/>
        </w:rPr>
        <w:t>CONSOLIDATED INCOME STATEMENT</w:t>
      </w:r>
      <w:bookmarkEnd w:id="51"/>
      <w:bookmarkEnd w:id="52"/>
    </w:p>
    <w:p w:rsidR="009072DB" w:rsidRPr="009C238A" w:rsidRDefault="009072DB" w:rsidP="009072DB">
      <w:pPr>
        <w:tabs>
          <w:tab w:val="left" w:pos="567"/>
          <w:tab w:val="left" w:pos="1134"/>
          <w:tab w:val="left" w:pos="1702"/>
          <w:tab w:val="left" w:pos="2269"/>
          <w:tab w:val="left" w:pos="2835"/>
          <w:tab w:val="left" w:pos="3402"/>
          <w:tab w:val="left" w:pos="3969"/>
        </w:tabs>
        <w:ind w:right="-1"/>
        <w:outlineLvl w:val="0"/>
        <w:rPr>
          <w:b/>
          <w:bCs/>
          <w:sz w:val="28"/>
          <w:szCs w:val="28"/>
          <w:lang w:val="en-US"/>
        </w:rPr>
      </w:pPr>
    </w:p>
    <w:tbl>
      <w:tblPr>
        <w:tblW w:w="5000" w:type="pct"/>
        <w:tblCellMar>
          <w:left w:w="70" w:type="dxa"/>
          <w:right w:w="70" w:type="dxa"/>
        </w:tblCellMar>
        <w:tblLook w:val="04A0"/>
      </w:tblPr>
      <w:tblGrid>
        <w:gridCol w:w="5179"/>
        <w:gridCol w:w="550"/>
        <w:gridCol w:w="976"/>
        <w:gridCol w:w="976"/>
        <w:gridCol w:w="1052"/>
        <w:gridCol w:w="1046"/>
      </w:tblGrid>
      <w:tr w:rsidR="009072DB" w:rsidRPr="009C238A" w:rsidTr="009072DB">
        <w:trPr>
          <w:trHeight w:val="330"/>
        </w:trPr>
        <w:tc>
          <w:tcPr>
            <w:tcW w:w="2648" w:type="pct"/>
            <w:vMerge w:val="restart"/>
            <w:tcBorders>
              <w:top w:val="single" w:sz="4" w:space="0" w:color="auto"/>
              <w:left w:val="nil"/>
              <w:bottom w:val="single" w:sz="4" w:space="0" w:color="000000"/>
              <w:right w:val="nil"/>
            </w:tcBorders>
            <w:shd w:val="clear" w:color="000000" w:fill="FFFFFF"/>
            <w:noWrap/>
            <w:vAlign w:val="center"/>
            <w:hideMark/>
          </w:tcPr>
          <w:p w:rsidR="009072DB" w:rsidRPr="009C238A" w:rsidRDefault="009072DB" w:rsidP="009072DB">
            <w:pPr>
              <w:rPr>
                <w:i/>
                <w:iCs/>
                <w:sz w:val="18"/>
                <w:szCs w:val="18"/>
                <w:lang w:val="en-US"/>
              </w:rPr>
            </w:pPr>
            <w:r w:rsidRPr="009C238A">
              <w:rPr>
                <w:i/>
                <w:iCs/>
                <w:sz w:val="20"/>
                <w:szCs w:val="20"/>
                <w:lang w:val="en-US"/>
              </w:rPr>
              <w:t>(in thousand of euros)</w:t>
            </w:r>
          </w:p>
        </w:tc>
        <w:tc>
          <w:tcPr>
            <w:tcW w:w="281" w:type="pct"/>
            <w:vMerge w:val="restart"/>
            <w:tcBorders>
              <w:top w:val="single" w:sz="4" w:space="0" w:color="auto"/>
              <w:left w:val="nil"/>
              <w:bottom w:val="single" w:sz="4" w:space="0" w:color="000000"/>
              <w:right w:val="nil"/>
            </w:tcBorders>
            <w:shd w:val="clear" w:color="000000" w:fill="FFFFFF"/>
            <w:noWrap/>
            <w:vAlign w:val="center"/>
            <w:hideMark/>
          </w:tcPr>
          <w:p w:rsidR="009072DB" w:rsidRPr="009C238A" w:rsidRDefault="009072DB" w:rsidP="009072DB">
            <w:pPr>
              <w:jc w:val="center"/>
              <w:rPr>
                <w:b/>
                <w:bCs/>
                <w:sz w:val="18"/>
                <w:szCs w:val="18"/>
                <w:lang w:val="en-US"/>
              </w:rPr>
            </w:pPr>
            <w:r w:rsidRPr="009C238A">
              <w:rPr>
                <w:b/>
                <w:bCs/>
                <w:sz w:val="18"/>
                <w:szCs w:val="18"/>
                <w:lang w:val="en-US"/>
              </w:rPr>
              <w:t>notes</w:t>
            </w:r>
          </w:p>
        </w:tc>
        <w:tc>
          <w:tcPr>
            <w:tcW w:w="998" w:type="pct"/>
            <w:gridSpan w:val="2"/>
            <w:tcBorders>
              <w:top w:val="single" w:sz="4" w:space="0" w:color="auto"/>
              <w:left w:val="nil"/>
              <w:bottom w:val="nil"/>
              <w:right w:val="nil"/>
            </w:tcBorders>
            <w:shd w:val="clear" w:color="000000" w:fill="FFFFFF"/>
            <w:noWrap/>
            <w:vAlign w:val="center"/>
            <w:hideMark/>
          </w:tcPr>
          <w:p w:rsidR="009072DB" w:rsidRPr="009C238A" w:rsidRDefault="009072DB" w:rsidP="009072DB">
            <w:pPr>
              <w:jc w:val="center"/>
              <w:rPr>
                <w:b/>
                <w:bCs/>
                <w:sz w:val="18"/>
                <w:szCs w:val="18"/>
                <w:lang w:val="en-US"/>
              </w:rPr>
            </w:pPr>
            <w:r w:rsidRPr="009C238A">
              <w:rPr>
                <w:b/>
                <w:bCs/>
                <w:sz w:val="18"/>
                <w:szCs w:val="18"/>
                <w:lang w:val="en-US"/>
              </w:rPr>
              <w:t>3</w:t>
            </w:r>
            <w:r w:rsidRPr="009C238A">
              <w:rPr>
                <w:b/>
                <w:bCs/>
                <w:sz w:val="18"/>
                <w:szCs w:val="18"/>
                <w:vertAlign w:val="superscript"/>
                <w:lang w:val="en-US"/>
              </w:rPr>
              <w:t>rd</w:t>
            </w:r>
            <w:r w:rsidRPr="009C238A">
              <w:rPr>
                <w:b/>
                <w:bCs/>
                <w:sz w:val="18"/>
                <w:szCs w:val="18"/>
                <w:lang w:val="en-US"/>
              </w:rPr>
              <w:t xml:space="preserve"> quarter </w:t>
            </w:r>
          </w:p>
        </w:tc>
        <w:tc>
          <w:tcPr>
            <w:tcW w:w="1073" w:type="pct"/>
            <w:gridSpan w:val="2"/>
            <w:tcBorders>
              <w:top w:val="single" w:sz="4" w:space="0" w:color="auto"/>
              <w:left w:val="nil"/>
              <w:bottom w:val="nil"/>
              <w:right w:val="nil"/>
            </w:tcBorders>
            <w:shd w:val="clear" w:color="000000" w:fill="FFFFFF"/>
            <w:noWrap/>
            <w:vAlign w:val="center"/>
            <w:hideMark/>
          </w:tcPr>
          <w:p w:rsidR="009072DB" w:rsidRPr="009C238A" w:rsidRDefault="009072DB" w:rsidP="009072DB">
            <w:pPr>
              <w:jc w:val="center"/>
              <w:rPr>
                <w:b/>
                <w:bCs/>
                <w:sz w:val="18"/>
                <w:szCs w:val="18"/>
                <w:lang w:val="en-US"/>
              </w:rPr>
            </w:pPr>
            <w:r w:rsidRPr="009C238A">
              <w:rPr>
                <w:b/>
                <w:bCs/>
                <w:sz w:val="18"/>
                <w:szCs w:val="18"/>
                <w:lang w:val="en-US"/>
              </w:rPr>
              <w:t>First nine months</w:t>
            </w:r>
          </w:p>
        </w:tc>
      </w:tr>
      <w:tr w:rsidR="009072DB" w:rsidRPr="009C238A" w:rsidTr="009072DB">
        <w:trPr>
          <w:trHeight w:val="267"/>
        </w:trPr>
        <w:tc>
          <w:tcPr>
            <w:tcW w:w="2648" w:type="pct"/>
            <w:vMerge/>
            <w:tcBorders>
              <w:top w:val="single" w:sz="4" w:space="0" w:color="auto"/>
              <w:left w:val="nil"/>
              <w:bottom w:val="single" w:sz="4" w:space="0" w:color="000000"/>
              <w:right w:val="nil"/>
            </w:tcBorders>
            <w:vAlign w:val="center"/>
            <w:hideMark/>
          </w:tcPr>
          <w:p w:rsidR="009072DB" w:rsidRPr="009C238A" w:rsidRDefault="009072DB" w:rsidP="009072DB">
            <w:pPr>
              <w:rPr>
                <w:i/>
                <w:iCs/>
                <w:sz w:val="18"/>
                <w:szCs w:val="18"/>
                <w:lang w:val="en-US"/>
              </w:rPr>
            </w:pPr>
          </w:p>
        </w:tc>
        <w:tc>
          <w:tcPr>
            <w:tcW w:w="281" w:type="pct"/>
            <w:vMerge/>
            <w:tcBorders>
              <w:top w:val="single" w:sz="4" w:space="0" w:color="auto"/>
              <w:left w:val="nil"/>
              <w:bottom w:val="single" w:sz="4" w:space="0" w:color="000000"/>
              <w:right w:val="nil"/>
            </w:tcBorders>
            <w:vAlign w:val="center"/>
            <w:hideMark/>
          </w:tcPr>
          <w:p w:rsidR="009072DB" w:rsidRPr="009C238A" w:rsidRDefault="009072DB" w:rsidP="009072DB">
            <w:pPr>
              <w:rPr>
                <w:b/>
                <w:bCs/>
                <w:sz w:val="18"/>
                <w:szCs w:val="18"/>
                <w:lang w:val="en-US"/>
              </w:rPr>
            </w:pPr>
          </w:p>
        </w:tc>
        <w:tc>
          <w:tcPr>
            <w:tcW w:w="499"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2013</w:t>
            </w:r>
          </w:p>
        </w:tc>
        <w:tc>
          <w:tcPr>
            <w:tcW w:w="499"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2012</w:t>
            </w:r>
          </w:p>
        </w:tc>
        <w:tc>
          <w:tcPr>
            <w:tcW w:w="538"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2013</w:t>
            </w:r>
          </w:p>
        </w:tc>
        <w:tc>
          <w:tcPr>
            <w:tcW w:w="535"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2012</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Net revenues</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(1)</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104,202</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104,455</w:t>
            </w:r>
          </w:p>
        </w:tc>
        <w:tc>
          <w:tcPr>
            <w:tcW w:w="53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323,921</w:t>
            </w:r>
          </w:p>
        </w:tc>
        <w:tc>
          <w:tcPr>
            <w:tcW w:w="53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325,141</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Cost of sales</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(2)</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(33,519)</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(31,842)</w:t>
            </w:r>
          </w:p>
        </w:tc>
        <w:tc>
          <w:tcPr>
            <w:tcW w:w="53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(101,347)</w:t>
            </w:r>
          </w:p>
        </w:tc>
        <w:tc>
          <w:tcPr>
            <w:tcW w:w="53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(99,247)</w:t>
            </w:r>
          </w:p>
        </w:tc>
      </w:tr>
      <w:tr w:rsidR="009072DB" w:rsidRPr="009C238A" w:rsidTr="009072DB">
        <w:trPr>
          <w:trHeight w:val="375"/>
        </w:trPr>
        <w:tc>
          <w:tcPr>
            <w:tcW w:w="2648"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sz w:val="20"/>
                <w:szCs w:val="20"/>
                <w:lang w:val="en-US"/>
              </w:rPr>
              <w:t>Gross profit</w:t>
            </w:r>
          </w:p>
        </w:tc>
        <w:tc>
          <w:tcPr>
            <w:tcW w:w="281"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 </w:t>
            </w:r>
          </w:p>
        </w:tc>
        <w:tc>
          <w:tcPr>
            <w:tcW w:w="499"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70,683</w:t>
            </w:r>
          </w:p>
        </w:tc>
        <w:tc>
          <w:tcPr>
            <w:tcW w:w="499"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72,613</w:t>
            </w:r>
          </w:p>
        </w:tc>
        <w:tc>
          <w:tcPr>
            <w:tcW w:w="53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222,574</w:t>
            </w:r>
          </w:p>
        </w:tc>
        <w:tc>
          <w:tcPr>
            <w:tcW w:w="535"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225,894</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Sales and marketing expenses</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(3)</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(20,303)</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(20,196)</w:t>
            </w:r>
          </w:p>
        </w:tc>
        <w:tc>
          <w:tcPr>
            <w:tcW w:w="53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(63,334)</w:t>
            </w:r>
          </w:p>
        </w:tc>
        <w:tc>
          <w:tcPr>
            <w:tcW w:w="53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(60,813)</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Research and development costs</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(4)</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(5,524)</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(5,585)</w:t>
            </w:r>
          </w:p>
        </w:tc>
        <w:tc>
          <w:tcPr>
            <w:tcW w:w="53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(17,711)</w:t>
            </w:r>
          </w:p>
        </w:tc>
        <w:tc>
          <w:tcPr>
            <w:tcW w:w="53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(17,342)</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General and administrative expenses</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(5)</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(11,405)</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(11,203)</w:t>
            </w:r>
          </w:p>
        </w:tc>
        <w:tc>
          <w:tcPr>
            <w:tcW w:w="53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(35,907)</w:t>
            </w:r>
          </w:p>
        </w:tc>
        <w:tc>
          <w:tcPr>
            <w:tcW w:w="53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(35,512)</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Other operating income (expenses)</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(6)</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(1,736)</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(1,225)</w:t>
            </w:r>
          </w:p>
        </w:tc>
        <w:tc>
          <w:tcPr>
            <w:tcW w:w="53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(4,324)</w:t>
            </w:r>
          </w:p>
        </w:tc>
        <w:tc>
          <w:tcPr>
            <w:tcW w:w="535"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(3,077)</w:t>
            </w:r>
          </w:p>
        </w:tc>
      </w:tr>
      <w:tr w:rsidR="009072DB" w:rsidRPr="00042627"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jc w:val="right"/>
              <w:rPr>
                <w:i/>
                <w:iCs/>
                <w:sz w:val="20"/>
                <w:szCs w:val="20"/>
                <w:lang w:val="en-US"/>
              </w:rPr>
            </w:pPr>
            <w:r w:rsidRPr="009C238A">
              <w:rPr>
                <w:i/>
                <w:iCs/>
                <w:sz w:val="20"/>
                <w:szCs w:val="20"/>
                <w:lang w:val="en-US"/>
              </w:rPr>
              <w:t>Non-recurring amount</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 </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(298)</w:t>
            </w:r>
          </w:p>
        </w:tc>
        <w:tc>
          <w:tcPr>
            <w:tcW w:w="538" w:type="pct"/>
            <w:tcBorders>
              <w:top w:val="nil"/>
              <w:left w:val="nil"/>
              <w:bottom w:val="nil"/>
              <w:right w:val="nil"/>
            </w:tcBorders>
            <w:shd w:val="clear" w:color="000000" w:fill="FFFFFF"/>
            <w:noWrap/>
            <w:vAlign w:val="center"/>
            <w:hideMark/>
          </w:tcPr>
          <w:p w:rsidR="009072DB" w:rsidRPr="009C238A" w:rsidRDefault="009072DB" w:rsidP="009072DB">
            <w:pPr>
              <w:jc w:val="right"/>
              <w:rPr>
                <w:i/>
                <w:iCs/>
                <w:sz w:val="18"/>
                <w:szCs w:val="18"/>
                <w:lang w:val="en-US"/>
              </w:rPr>
            </w:pPr>
            <w:r w:rsidRPr="009C238A">
              <w:rPr>
                <w:i/>
                <w:iCs/>
                <w:sz w:val="18"/>
                <w:szCs w:val="18"/>
                <w:lang w:val="en-US"/>
              </w:rPr>
              <w:t>-</w:t>
            </w:r>
          </w:p>
        </w:tc>
        <w:tc>
          <w:tcPr>
            <w:tcW w:w="535" w:type="pct"/>
            <w:tcBorders>
              <w:top w:val="nil"/>
              <w:left w:val="nil"/>
              <w:bottom w:val="nil"/>
              <w:right w:val="nil"/>
            </w:tcBorders>
            <w:shd w:val="clear" w:color="000000" w:fill="FFFFFF"/>
            <w:noWrap/>
            <w:vAlign w:val="center"/>
            <w:hideMark/>
          </w:tcPr>
          <w:p w:rsidR="009072DB" w:rsidRPr="00042627" w:rsidRDefault="009072DB" w:rsidP="009072DB">
            <w:pPr>
              <w:jc w:val="right"/>
              <w:rPr>
                <w:iCs/>
                <w:sz w:val="18"/>
                <w:szCs w:val="18"/>
                <w:lang w:val="en-US"/>
              </w:rPr>
            </w:pPr>
            <w:r w:rsidRPr="00042627">
              <w:rPr>
                <w:iCs/>
                <w:sz w:val="18"/>
                <w:szCs w:val="18"/>
                <w:lang w:val="en-US"/>
              </w:rPr>
              <w:t>(1,151)</w:t>
            </w:r>
          </w:p>
        </w:tc>
      </w:tr>
      <w:tr w:rsidR="009072DB" w:rsidRPr="009C238A" w:rsidTr="009072DB">
        <w:trPr>
          <w:trHeight w:val="375"/>
        </w:trPr>
        <w:tc>
          <w:tcPr>
            <w:tcW w:w="2648"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sz w:val="20"/>
                <w:szCs w:val="20"/>
                <w:lang w:val="en-US"/>
              </w:rPr>
              <w:t>EBIT</w:t>
            </w:r>
          </w:p>
        </w:tc>
        <w:tc>
          <w:tcPr>
            <w:tcW w:w="281"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 </w:t>
            </w:r>
          </w:p>
        </w:tc>
        <w:tc>
          <w:tcPr>
            <w:tcW w:w="499"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31,715</w:t>
            </w:r>
          </w:p>
        </w:tc>
        <w:tc>
          <w:tcPr>
            <w:tcW w:w="499"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34,404</w:t>
            </w:r>
          </w:p>
        </w:tc>
        <w:tc>
          <w:tcPr>
            <w:tcW w:w="538"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101,298</w:t>
            </w:r>
          </w:p>
        </w:tc>
        <w:tc>
          <w:tcPr>
            <w:tcW w:w="535"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109,150</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Net financial income/ (expense)</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(7)</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(937)</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(578)</w:t>
            </w:r>
          </w:p>
        </w:tc>
        <w:tc>
          <w:tcPr>
            <w:tcW w:w="53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(3,806)</w:t>
            </w:r>
          </w:p>
        </w:tc>
        <w:tc>
          <w:tcPr>
            <w:tcW w:w="53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(2,223)</w:t>
            </w:r>
          </w:p>
        </w:tc>
      </w:tr>
      <w:tr w:rsidR="009072DB" w:rsidRPr="009C238A" w:rsidTr="009072DB">
        <w:trPr>
          <w:trHeight w:val="375"/>
        </w:trPr>
        <w:tc>
          <w:tcPr>
            <w:tcW w:w="2648"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sz w:val="20"/>
                <w:szCs w:val="20"/>
                <w:lang w:val="en-US"/>
              </w:rPr>
              <w:t>Profit before taxes</w:t>
            </w:r>
          </w:p>
        </w:tc>
        <w:tc>
          <w:tcPr>
            <w:tcW w:w="281"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 </w:t>
            </w:r>
          </w:p>
        </w:tc>
        <w:tc>
          <w:tcPr>
            <w:tcW w:w="49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30,778</w:t>
            </w:r>
          </w:p>
        </w:tc>
        <w:tc>
          <w:tcPr>
            <w:tcW w:w="49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33,826</w:t>
            </w:r>
          </w:p>
        </w:tc>
        <w:tc>
          <w:tcPr>
            <w:tcW w:w="538"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97,492</w:t>
            </w:r>
          </w:p>
        </w:tc>
        <w:tc>
          <w:tcPr>
            <w:tcW w:w="535"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106,927</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Taxes</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(8)</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(10,764)</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(12,410)</w:t>
            </w:r>
          </w:p>
        </w:tc>
        <w:tc>
          <w:tcPr>
            <w:tcW w:w="53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(36,437)</w:t>
            </w:r>
          </w:p>
        </w:tc>
        <w:tc>
          <w:tcPr>
            <w:tcW w:w="53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(39,972)</w:t>
            </w:r>
          </w:p>
        </w:tc>
      </w:tr>
      <w:tr w:rsidR="009072DB" w:rsidRPr="009C238A" w:rsidTr="009072DB">
        <w:trPr>
          <w:trHeight w:val="375"/>
        </w:trPr>
        <w:tc>
          <w:tcPr>
            <w:tcW w:w="264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sz w:val="20"/>
                <w:szCs w:val="20"/>
                <w:lang w:val="en-US"/>
              </w:rPr>
              <w:t>Net profit for the period</w:t>
            </w:r>
          </w:p>
        </w:tc>
        <w:tc>
          <w:tcPr>
            <w:tcW w:w="281"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 </w:t>
            </w:r>
          </w:p>
        </w:tc>
        <w:tc>
          <w:tcPr>
            <w:tcW w:w="499"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20,014</w:t>
            </w:r>
          </w:p>
        </w:tc>
        <w:tc>
          <w:tcPr>
            <w:tcW w:w="499"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21,416</w:t>
            </w:r>
          </w:p>
        </w:tc>
        <w:tc>
          <w:tcPr>
            <w:tcW w:w="538"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61,055</w:t>
            </w:r>
          </w:p>
        </w:tc>
        <w:tc>
          <w:tcPr>
            <w:tcW w:w="535"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66,955</w:t>
            </w:r>
          </w:p>
        </w:tc>
      </w:tr>
      <w:tr w:rsidR="009072DB" w:rsidRPr="009C238A" w:rsidTr="009072DB">
        <w:trPr>
          <w:trHeight w:val="375"/>
        </w:trPr>
        <w:tc>
          <w:tcPr>
            <w:tcW w:w="2648" w:type="pct"/>
            <w:tcBorders>
              <w:top w:val="nil"/>
              <w:left w:val="nil"/>
              <w:bottom w:val="nil"/>
              <w:right w:val="nil"/>
            </w:tcBorders>
            <w:shd w:val="clear" w:color="000000" w:fill="FFFFFF"/>
            <w:noWrap/>
            <w:vAlign w:val="center"/>
            <w:hideMark/>
          </w:tcPr>
          <w:p w:rsidR="009072DB" w:rsidRPr="009C238A" w:rsidRDefault="009072DB" w:rsidP="009072DB">
            <w:pPr>
              <w:rPr>
                <w:i/>
                <w:iCs/>
                <w:sz w:val="20"/>
                <w:szCs w:val="20"/>
                <w:lang w:val="en-US"/>
              </w:rPr>
            </w:pPr>
            <w:r w:rsidRPr="009C238A">
              <w:rPr>
                <w:i/>
                <w:iCs/>
                <w:sz w:val="20"/>
                <w:szCs w:val="20"/>
                <w:lang w:val="en-US"/>
              </w:rPr>
              <w:t>Broken down as follows</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 </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49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53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535"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375"/>
        </w:trPr>
        <w:tc>
          <w:tcPr>
            <w:tcW w:w="2648"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Minority interest in net result</w:t>
            </w:r>
          </w:p>
        </w:tc>
        <w:tc>
          <w:tcPr>
            <w:tcW w:w="281"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 </w:t>
            </w:r>
          </w:p>
        </w:tc>
        <w:tc>
          <w:tcPr>
            <w:tcW w:w="49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65</w:t>
            </w:r>
          </w:p>
        </w:tc>
        <w:tc>
          <w:tcPr>
            <w:tcW w:w="49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110</w:t>
            </w:r>
          </w:p>
        </w:tc>
        <w:tc>
          <w:tcPr>
            <w:tcW w:w="538"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288</w:t>
            </w:r>
          </w:p>
        </w:tc>
        <w:tc>
          <w:tcPr>
            <w:tcW w:w="535"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295</w:t>
            </w:r>
          </w:p>
        </w:tc>
      </w:tr>
      <w:tr w:rsidR="009072DB" w:rsidRPr="009C238A" w:rsidTr="009072DB">
        <w:trPr>
          <w:trHeight w:val="375"/>
        </w:trPr>
        <w:tc>
          <w:tcPr>
            <w:tcW w:w="2648" w:type="pct"/>
            <w:tcBorders>
              <w:top w:val="nil"/>
              <w:left w:val="nil"/>
              <w:bottom w:val="single" w:sz="4" w:space="0" w:color="auto"/>
              <w:right w:val="nil"/>
            </w:tcBorders>
            <w:shd w:val="clear" w:color="000000" w:fill="FFFFFF"/>
            <w:noWrap/>
            <w:vAlign w:val="center"/>
            <w:hideMark/>
          </w:tcPr>
          <w:p w:rsidR="009072DB" w:rsidRPr="009C238A" w:rsidRDefault="009072DB" w:rsidP="009072DB">
            <w:pPr>
              <w:rPr>
                <w:sz w:val="20"/>
                <w:szCs w:val="20"/>
                <w:lang w:val="en-US"/>
              </w:rPr>
            </w:pPr>
            <w:r w:rsidRPr="009C238A">
              <w:rPr>
                <w:sz w:val="20"/>
                <w:szCs w:val="20"/>
                <w:lang w:val="en-US"/>
              </w:rPr>
              <w:t>Group’s Parent Company interest in net result</w:t>
            </w:r>
          </w:p>
        </w:tc>
        <w:tc>
          <w:tcPr>
            <w:tcW w:w="281"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 </w:t>
            </w:r>
          </w:p>
        </w:tc>
        <w:tc>
          <w:tcPr>
            <w:tcW w:w="499"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19,949</w:t>
            </w:r>
          </w:p>
        </w:tc>
        <w:tc>
          <w:tcPr>
            <w:tcW w:w="499"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21,306</w:t>
            </w:r>
          </w:p>
        </w:tc>
        <w:tc>
          <w:tcPr>
            <w:tcW w:w="538"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60,767</w:t>
            </w:r>
          </w:p>
        </w:tc>
        <w:tc>
          <w:tcPr>
            <w:tcW w:w="535"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66,660</w:t>
            </w:r>
          </w:p>
        </w:tc>
      </w:tr>
      <w:tr w:rsidR="009072DB" w:rsidRPr="009C238A" w:rsidTr="009072DB">
        <w:trPr>
          <w:trHeight w:val="375"/>
        </w:trPr>
        <w:tc>
          <w:tcPr>
            <w:tcW w:w="2648" w:type="pct"/>
            <w:tcBorders>
              <w:top w:val="nil"/>
              <w:left w:val="nil"/>
              <w:bottom w:val="single" w:sz="4"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sz w:val="20"/>
                <w:szCs w:val="20"/>
                <w:lang w:val="en-US"/>
              </w:rPr>
              <w:t>Earnings per share (basic)</w:t>
            </w:r>
          </w:p>
        </w:tc>
        <w:tc>
          <w:tcPr>
            <w:tcW w:w="281"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(9)</w:t>
            </w:r>
          </w:p>
        </w:tc>
        <w:tc>
          <w:tcPr>
            <w:tcW w:w="499"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0.37</w:t>
            </w:r>
          </w:p>
        </w:tc>
        <w:tc>
          <w:tcPr>
            <w:tcW w:w="499"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0.39</w:t>
            </w:r>
          </w:p>
        </w:tc>
        <w:tc>
          <w:tcPr>
            <w:tcW w:w="53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1.12</w:t>
            </w:r>
          </w:p>
        </w:tc>
        <w:tc>
          <w:tcPr>
            <w:tcW w:w="535"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1.23</w:t>
            </w:r>
          </w:p>
        </w:tc>
      </w:tr>
      <w:tr w:rsidR="009072DB" w:rsidRPr="009C238A" w:rsidTr="009072DB">
        <w:trPr>
          <w:trHeight w:val="375"/>
        </w:trPr>
        <w:tc>
          <w:tcPr>
            <w:tcW w:w="2648" w:type="pct"/>
            <w:tcBorders>
              <w:top w:val="nil"/>
              <w:left w:val="nil"/>
              <w:bottom w:val="single" w:sz="4"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sz w:val="20"/>
                <w:szCs w:val="20"/>
                <w:lang w:val="en-US"/>
              </w:rPr>
              <w:t>Earnings per share (diluted)</w:t>
            </w:r>
          </w:p>
        </w:tc>
        <w:tc>
          <w:tcPr>
            <w:tcW w:w="281"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center"/>
              <w:rPr>
                <w:sz w:val="20"/>
                <w:szCs w:val="20"/>
                <w:lang w:val="en-US"/>
              </w:rPr>
            </w:pPr>
            <w:r w:rsidRPr="009C238A">
              <w:rPr>
                <w:sz w:val="20"/>
                <w:szCs w:val="20"/>
                <w:lang w:val="en-US"/>
              </w:rPr>
              <w:t>(9)</w:t>
            </w:r>
          </w:p>
        </w:tc>
        <w:tc>
          <w:tcPr>
            <w:tcW w:w="499"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0.37</w:t>
            </w:r>
          </w:p>
        </w:tc>
        <w:tc>
          <w:tcPr>
            <w:tcW w:w="499"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0.39</w:t>
            </w:r>
          </w:p>
        </w:tc>
        <w:tc>
          <w:tcPr>
            <w:tcW w:w="53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1.12</w:t>
            </w:r>
          </w:p>
        </w:tc>
        <w:tc>
          <w:tcPr>
            <w:tcW w:w="535"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1.23</w:t>
            </w:r>
          </w:p>
        </w:tc>
      </w:tr>
    </w:tbl>
    <w:p w:rsidR="009072DB" w:rsidRPr="009C238A" w:rsidRDefault="009072DB" w:rsidP="009072DB">
      <w:pPr>
        <w:tabs>
          <w:tab w:val="left" w:pos="567"/>
          <w:tab w:val="left" w:pos="1134"/>
          <w:tab w:val="left" w:pos="1702"/>
          <w:tab w:val="left" w:pos="2269"/>
          <w:tab w:val="left" w:pos="2835"/>
          <w:tab w:val="left" w:pos="3402"/>
          <w:tab w:val="left" w:pos="3969"/>
        </w:tabs>
        <w:ind w:right="-1"/>
        <w:outlineLvl w:val="0"/>
        <w:rPr>
          <w:lang w:val="en-US"/>
        </w:rPr>
      </w:pPr>
    </w:p>
    <w:p w:rsidR="009072DB" w:rsidRPr="009C238A" w:rsidRDefault="009072DB" w:rsidP="009072DB">
      <w:pPr>
        <w:rPr>
          <w:lang w:val="en-US"/>
        </w:rPr>
      </w:pPr>
    </w:p>
    <w:p w:rsidR="009072DB" w:rsidRPr="009C238A" w:rsidRDefault="009072DB" w:rsidP="009072DB">
      <w:pPr>
        <w:rPr>
          <w:b/>
          <w:bCs/>
          <w:smallCaps/>
          <w:lang w:val="en-US"/>
        </w:rPr>
      </w:pPr>
      <w:bookmarkStart w:id="53" w:name="_Toc355267702"/>
      <w:bookmarkStart w:id="54" w:name="_Toc362883838"/>
      <w:r w:rsidRPr="009C238A">
        <w:rPr>
          <w:b/>
          <w:bCs/>
          <w:smallCaps/>
          <w:lang w:val="en-US"/>
        </w:rPr>
        <w:br w:type="page"/>
      </w:r>
    </w:p>
    <w:p w:rsidR="009072DB" w:rsidRPr="00042627" w:rsidRDefault="009072DB" w:rsidP="00042627">
      <w:pPr>
        <w:pStyle w:val="Titolo2"/>
        <w:rPr>
          <w:b/>
        </w:rPr>
      </w:pPr>
      <w:bookmarkStart w:id="55" w:name="_Toc237667820"/>
      <w:bookmarkEnd w:id="53"/>
      <w:bookmarkEnd w:id="54"/>
      <w:r w:rsidRPr="009C238A">
        <w:lastRenderedPageBreak/>
        <w:t xml:space="preserve">                       </w:t>
      </w:r>
      <w:bookmarkStart w:id="56" w:name="_Toc245837755"/>
      <w:r w:rsidRPr="00042627">
        <w:rPr>
          <w:b/>
        </w:rPr>
        <w:t>CONSOLIDATED STATEMENT OF COMPREHENSIVE INCOME</w:t>
      </w:r>
      <w:bookmarkEnd w:id="55"/>
      <w:bookmarkEnd w:id="56"/>
    </w:p>
    <w:p w:rsidR="009072DB" w:rsidRPr="009C238A" w:rsidRDefault="009072DB" w:rsidP="009072DB">
      <w:pPr>
        <w:rPr>
          <w:b/>
          <w:sz w:val="20"/>
          <w:szCs w:val="20"/>
          <w:highlight w:val="yellow"/>
          <w:lang w:val="en-US"/>
        </w:rPr>
      </w:pPr>
    </w:p>
    <w:tbl>
      <w:tblPr>
        <w:tblW w:w="5000" w:type="pct"/>
        <w:tblCellMar>
          <w:left w:w="70" w:type="dxa"/>
          <w:right w:w="70" w:type="dxa"/>
        </w:tblCellMar>
        <w:tblLook w:val="04A0"/>
      </w:tblPr>
      <w:tblGrid>
        <w:gridCol w:w="5922"/>
        <w:gridCol w:w="993"/>
        <w:gridCol w:w="1019"/>
        <w:gridCol w:w="988"/>
        <w:gridCol w:w="857"/>
      </w:tblGrid>
      <w:tr w:rsidR="009072DB" w:rsidRPr="009C238A" w:rsidTr="009072DB">
        <w:trPr>
          <w:trHeight w:val="255"/>
        </w:trPr>
        <w:tc>
          <w:tcPr>
            <w:tcW w:w="3028" w:type="pct"/>
            <w:vMerge w:val="restart"/>
            <w:tcBorders>
              <w:top w:val="single" w:sz="4" w:space="0" w:color="auto"/>
              <w:left w:val="nil"/>
              <w:bottom w:val="single" w:sz="4" w:space="0" w:color="000000"/>
              <w:right w:val="nil"/>
            </w:tcBorders>
            <w:shd w:val="clear" w:color="000000" w:fill="FFFFFF"/>
            <w:noWrap/>
            <w:vAlign w:val="center"/>
            <w:hideMark/>
          </w:tcPr>
          <w:p w:rsidR="009072DB" w:rsidRPr="009C238A" w:rsidRDefault="009072DB" w:rsidP="009072DB">
            <w:pPr>
              <w:rPr>
                <w:i/>
                <w:iCs/>
                <w:sz w:val="18"/>
                <w:szCs w:val="18"/>
                <w:lang w:val="en-US"/>
              </w:rPr>
            </w:pPr>
            <w:r w:rsidRPr="009C238A">
              <w:rPr>
                <w:i/>
                <w:iCs/>
                <w:color w:val="000000" w:themeColor="text1"/>
                <w:sz w:val="18"/>
                <w:szCs w:val="18"/>
                <w:lang w:val="en-US"/>
              </w:rPr>
              <w:t>(in thousands of euros)</w:t>
            </w:r>
          </w:p>
        </w:tc>
        <w:tc>
          <w:tcPr>
            <w:tcW w:w="1029" w:type="pct"/>
            <w:gridSpan w:val="2"/>
            <w:tcBorders>
              <w:top w:val="single" w:sz="4" w:space="0" w:color="auto"/>
              <w:left w:val="nil"/>
              <w:bottom w:val="nil"/>
              <w:right w:val="nil"/>
            </w:tcBorders>
            <w:shd w:val="clear" w:color="000000" w:fill="FFFFFF"/>
            <w:noWrap/>
            <w:vAlign w:val="bottom"/>
            <w:hideMark/>
          </w:tcPr>
          <w:p w:rsidR="009072DB" w:rsidRPr="009C238A" w:rsidRDefault="009072DB" w:rsidP="009072DB">
            <w:pPr>
              <w:jc w:val="center"/>
              <w:rPr>
                <w:b/>
                <w:bCs/>
                <w:sz w:val="18"/>
                <w:szCs w:val="18"/>
                <w:lang w:val="en-US"/>
              </w:rPr>
            </w:pPr>
            <w:r w:rsidRPr="009C238A">
              <w:rPr>
                <w:b/>
                <w:bCs/>
                <w:sz w:val="18"/>
                <w:szCs w:val="18"/>
                <w:lang w:val="en-US"/>
              </w:rPr>
              <w:t>3</w:t>
            </w:r>
            <w:r w:rsidRPr="009C238A">
              <w:rPr>
                <w:b/>
                <w:bCs/>
                <w:sz w:val="18"/>
                <w:szCs w:val="18"/>
                <w:vertAlign w:val="superscript"/>
                <w:lang w:val="en-US"/>
              </w:rPr>
              <w:t>rd</w:t>
            </w:r>
            <w:r w:rsidRPr="009C238A">
              <w:rPr>
                <w:b/>
                <w:bCs/>
                <w:sz w:val="18"/>
                <w:szCs w:val="18"/>
                <w:lang w:val="en-US"/>
              </w:rPr>
              <w:t xml:space="preserve"> quarter</w:t>
            </w:r>
          </w:p>
        </w:tc>
        <w:tc>
          <w:tcPr>
            <w:tcW w:w="943" w:type="pct"/>
            <w:gridSpan w:val="2"/>
            <w:tcBorders>
              <w:top w:val="single" w:sz="4" w:space="0" w:color="auto"/>
              <w:left w:val="nil"/>
              <w:bottom w:val="nil"/>
              <w:right w:val="nil"/>
            </w:tcBorders>
            <w:shd w:val="clear" w:color="000000" w:fill="FFFFFF"/>
            <w:noWrap/>
            <w:vAlign w:val="bottom"/>
            <w:hideMark/>
          </w:tcPr>
          <w:p w:rsidR="009072DB" w:rsidRPr="009C238A" w:rsidRDefault="009072DB" w:rsidP="009072DB">
            <w:pPr>
              <w:jc w:val="center"/>
              <w:rPr>
                <w:b/>
                <w:bCs/>
                <w:sz w:val="18"/>
                <w:szCs w:val="18"/>
                <w:lang w:val="en-US"/>
              </w:rPr>
            </w:pPr>
            <w:r w:rsidRPr="009C238A">
              <w:rPr>
                <w:b/>
                <w:bCs/>
                <w:sz w:val="18"/>
                <w:szCs w:val="18"/>
                <w:lang w:val="en-US"/>
              </w:rPr>
              <w:t>First nine months</w:t>
            </w:r>
          </w:p>
        </w:tc>
      </w:tr>
      <w:tr w:rsidR="009072DB" w:rsidRPr="009C238A" w:rsidTr="009072DB">
        <w:trPr>
          <w:trHeight w:val="272"/>
        </w:trPr>
        <w:tc>
          <w:tcPr>
            <w:tcW w:w="3028" w:type="pct"/>
            <w:vMerge/>
            <w:tcBorders>
              <w:top w:val="single" w:sz="4" w:space="0" w:color="auto"/>
              <w:left w:val="nil"/>
              <w:bottom w:val="single" w:sz="4" w:space="0" w:color="000000"/>
              <w:right w:val="nil"/>
            </w:tcBorders>
            <w:vAlign w:val="center"/>
            <w:hideMark/>
          </w:tcPr>
          <w:p w:rsidR="009072DB" w:rsidRPr="009C238A" w:rsidRDefault="009072DB" w:rsidP="009072DB">
            <w:pPr>
              <w:rPr>
                <w:i/>
                <w:iCs/>
                <w:sz w:val="18"/>
                <w:szCs w:val="18"/>
                <w:lang w:val="en-US"/>
              </w:rPr>
            </w:pPr>
          </w:p>
        </w:tc>
        <w:tc>
          <w:tcPr>
            <w:tcW w:w="508"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iCs/>
                <w:sz w:val="20"/>
                <w:szCs w:val="20"/>
                <w:lang w:val="en-US"/>
              </w:rPr>
            </w:pPr>
            <w:r w:rsidRPr="009C238A">
              <w:rPr>
                <w:b/>
                <w:bCs/>
                <w:iCs/>
                <w:sz w:val="20"/>
                <w:szCs w:val="20"/>
                <w:lang w:val="en-US"/>
              </w:rPr>
              <w:t>2013</w:t>
            </w:r>
          </w:p>
        </w:tc>
        <w:tc>
          <w:tcPr>
            <w:tcW w:w="521"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iCs/>
                <w:sz w:val="20"/>
                <w:szCs w:val="20"/>
                <w:lang w:val="en-US"/>
              </w:rPr>
            </w:pPr>
            <w:r w:rsidRPr="009C238A">
              <w:rPr>
                <w:b/>
                <w:bCs/>
                <w:iCs/>
                <w:sz w:val="20"/>
                <w:szCs w:val="20"/>
                <w:lang w:val="en-US"/>
              </w:rPr>
              <w:t>2012(*)</w:t>
            </w:r>
          </w:p>
        </w:tc>
        <w:tc>
          <w:tcPr>
            <w:tcW w:w="505"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iCs/>
                <w:sz w:val="20"/>
                <w:szCs w:val="20"/>
                <w:lang w:val="en-US"/>
              </w:rPr>
            </w:pPr>
            <w:r w:rsidRPr="009C238A">
              <w:rPr>
                <w:b/>
                <w:bCs/>
                <w:iCs/>
                <w:sz w:val="20"/>
                <w:szCs w:val="20"/>
                <w:lang w:val="en-US"/>
              </w:rPr>
              <w:t>2013</w:t>
            </w:r>
          </w:p>
        </w:tc>
        <w:tc>
          <w:tcPr>
            <w:tcW w:w="438"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iCs/>
                <w:sz w:val="20"/>
                <w:szCs w:val="20"/>
                <w:lang w:val="en-US"/>
              </w:rPr>
            </w:pPr>
            <w:r w:rsidRPr="009C238A">
              <w:rPr>
                <w:b/>
                <w:bCs/>
                <w:iCs/>
                <w:sz w:val="20"/>
                <w:szCs w:val="20"/>
                <w:lang w:val="en-US"/>
              </w:rPr>
              <w:t>2012(*)</w:t>
            </w:r>
          </w:p>
        </w:tc>
      </w:tr>
      <w:tr w:rsidR="009072DB" w:rsidRPr="009C238A" w:rsidTr="009072DB">
        <w:trPr>
          <w:trHeight w:val="255"/>
        </w:trPr>
        <w:tc>
          <w:tcPr>
            <w:tcW w:w="3028" w:type="pct"/>
            <w:tcBorders>
              <w:top w:val="nil"/>
              <w:left w:val="nil"/>
              <w:bottom w:val="nil"/>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Net profit for the period (A)</w:t>
            </w:r>
          </w:p>
        </w:tc>
        <w:tc>
          <w:tcPr>
            <w:tcW w:w="508"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20,014</w:t>
            </w:r>
          </w:p>
        </w:tc>
        <w:tc>
          <w:tcPr>
            <w:tcW w:w="521"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21,416</w:t>
            </w:r>
          </w:p>
        </w:tc>
        <w:tc>
          <w:tcPr>
            <w:tcW w:w="505"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61,055</w:t>
            </w:r>
          </w:p>
        </w:tc>
        <w:tc>
          <w:tcPr>
            <w:tcW w:w="438"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66,955</w:t>
            </w:r>
          </w:p>
        </w:tc>
      </w:tr>
      <w:tr w:rsidR="009072DB" w:rsidRPr="00923B29" w:rsidTr="009072DB">
        <w:trPr>
          <w:trHeight w:val="510"/>
        </w:trPr>
        <w:tc>
          <w:tcPr>
            <w:tcW w:w="3028" w:type="pct"/>
            <w:tcBorders>
              <w:top w:val="single" w:sz="4" w:space="0" w:color="auto"/>
              <w:left w:val="nil"/>
              <w:bottom w:val="nil"/>
              <w:right w:val="nil"/>
            </w:tcBorders>
            <w:shd w:val="clear" w:color="000000" w:fill="FFFFFF"/>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Other comprehensive income that will not be reclassified subsequently to profit/(loss) of the period:</w:t>
            </w:r>
          </w:p>
        </w:tc>
        <w:tc>
          <w:tcPr>
            <w:tcW w:w="508" w:type="pct"/>
            <w:tcBorders>
              <w:top w:val="single" w:sz="4" w:space="0" w:color="auto"/>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521" w:type="pct"/>
            <w:tcBorders>
              <w:top w:val="single" w:sz="4" w:space="0" w:color="auto"/>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505" w:type="pct"/>
            <w:tcBorders>
              <w:top w:val="single" w:sz="4" w:space="0" w:color="auto"/>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438" w:type="pct"/>
            <w:tcBorders>
              <w:top w:val="single" w:sz="4" w:space="0" w:color="auto"/>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r>
      <w:tr w:rsidR="009072DB" w:rsidRPr="009C238A" w:rsidTr="009072DB">
        <w:trPr>
          <w:trHeight w:val="255"/>
        </w:trPr>
        <w:tc>
          <w:tcPr>
            <w:tcW w:w="302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Gains/(losses) on retirement benefit obligations</w:t>
            </w:r>
          </w:p>
        </w:tc>
        <w:tc>
          <w:tcPr>
            <w:tcW w:w="508"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(9)</w:t>
            </w:r>
          </w:p>
        </w:tc>
        <w:tc>
          <w:tcPr>
            <w:tcW w:w="521"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(351)</w:t>
            </w:r>
          </w:p>
        </w:tc>
        <w:tc>
          <w:tcPr>
            <w:tcW w:w="505"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w:t>
            </w:r>
          </w:p>
        </w:tc>
        <w:tc>
          <w:tcPr>
            <w:tcW w:w="438"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(1,054)</w:t>
            </w:r>
          </w:p>
        </w:tc>
      </w:tr>
      <w:tr w:rsidR="009072DB" w:rsidRPr="009C238A" w:rsidTr="009072DB">
        <w:trPr>
          <w:trHeight w:val="510"/>
        </w:trPr>
        <w:tc>
          <w:tcPr>
            <w:tcW w:w="3028"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other comprehensive income that will not be reclassified subsequently to profit/(loss) of the period (B1)</w:t>
            </w:r>
          </w:p>
        </w:tc>
        <w:tc>
          <w:tcPr>
            <w:tcW w:w="508"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(9)</w:t>
            </w:r>
          </w:p>
        </w:tc>
        <w:tc>
          <w:tcPr>
            <w:tcW w:w="521"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(351)</w:t>
            </w:r>
          </w:p>
        </w:tc>
        <w:tc>
          <w:tcPr>
            <w:tcW w:w="505"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(4)</w:t>
            </w:r>
          </w:p>
        </w:tc>
        <w:tc>
          <w:tcPr>
            <w:tcW w:w="438"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(1,054)</w:t>
            </w:r>
          </w:p>
        </w:tc>
      </w:tr>
      <w:tr w:rsidR="009072DB" w:rsidRPr="00923B29" w:rsidTr="009072DB">
        <w:trPr>
          <w:trHeight w:val="510"/>
        </w:trPr>
        <w:tc>
          <w:tcPr>
            <w:tcW w:w="3028" w:type="pct"/>
            <w:tcBorders>
              <w:top w:val="nil"/>
              <w:left w:val="nil"/>
              <w:bottom w:val="nil"/>
              <w:right w:val="nil"/>
            </w:tcBorders>
            <w:shd w:val="clear" w:color="000000" w:fill="FFFFFF"/>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Other comprehensive income that will be reclassified subsequently to profit/(loss) of the period:</w:t>
            </w:r>
          </w:p>
        </w:tc>
        <w:tc>
          <w:tcPr>
            <w:tcW w:w="508"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521"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505"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438"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r>
      <w:tr w:rsidR="009072DB" w:rsidRPr="009C238A" w:rsidTr="009072DB">
        <w:trPr>
          <w:trHeight w:val="255"/>
        </w:trPr>
        <w:tc>
          <w:tcPr>
            <w:tcW w:w="302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Gains/(losses) on exchange differences on translating foreign operations</w:t>
            </w:r>
          </w:p>
        </w:tc>
        <w:tc>
          <w:tcPr>
            <w:tcW w:w="50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(4,529)</w:t>
            </w:r>
          </w:p>
        </w:tc>
        <w:tc>
          <w:tcPr>
            <w:tcW w:w="52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(3,724)</w:t>
            </w:r>
          </w:p>
        </w:tc>
        <w:tc>
          <w:tcPr>
            <w:tcW w:w="505"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(5,783)</w:t>
            </w:r>
          </w:p>
        </w:tc>
        <w:tc>
          <w:tcPr>
            <w:tcW w:w="43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(2,247)</w:t>
            </w:r>
          </w:p>
        </w:tc>
      </w:tr>
      <w:tr w:rsidR="009072DB" w:rsidRPr="009C238A" w:rsidTr="009072DB">
        <w:trPr>
          <w:trHeight w:val="255"/>
        </w:trPr>
        <w:tc>
          <w:tcPr>
            <w:tcW w:w="302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Gains/(losses) on net investment hedge</w:t>
            </w:r>
          </w:p>
        </w:tc>
        <w:tc>
          <w:tcPr>
            <w:tcW w:w="50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150</w:t>
            </w:r>
          </w:p>
        </w:tc>
        <w:tc>
          <w:tcPr>
            <w:tcW w:w="52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274</w:t>
            </w:r>
          </w:p>
        </w:tc>
        <w:tc>
          <w:tcPr>
            <w:tcW w:w="505"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308</w:t>
            </w:r>
          </w:p>
        </w:tc>
        <w:tc>
          <w:tcPr>
            <w:tcW w:w="43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252</w:t>
            </w:r>
          </w:p>
        </w:tc>
      </w:tr>
      <w:tr w:rsidR="009072DB" w:rsidRPr="009C238A" w:rsidTr="009072DB">
        <w:trPr>
          <w:trHeight w:val="660"/>
        </w:trPr>
        <w:tc>
          <w:tcPr>
            <w:tcW w:w="3028"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other comprehensive income that will not be reclassified subsequently to profit/(loss) of the period (B2)</w:t>
            </w:r>
          </w:p>
        </w:tc>
        <w:tc>
          <w:tcPr>
            <w:tcW w:w="508"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(4,379)</w:t>
            </w:r>
          </w:p>
        </w:tc>
        <w:tc>
          <w:tcPr>
            <w:tcW w:w="521"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(3,450)</w:t>
            </w:r>
          </w:p>
        </w:tc>
        <w:tc>
          <w:tcPr>
            <w:tcW w:w="505"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(5,475)</w:t>
            </w:r>
          </w:p>
        </w:tc>
        <w:tc>
          <w:tcPr>
            <w:tcW w:w="438"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(1,995)</w:t>
            </w:r>
          </w:p>
        </w:tc>
      </w:tr>
      <w:tr w:rsidR="009072DB" w:rsidRPr="009C238A" w:rsidTr="009072DB">
        <w:trPr>
          <w:trHeight w:val="660"/>
        </w:trPr>
        <w:tc>
          <w:tcPr>
            <w:tcW w:w="3028" w:type="pct"/>
            <w:tcBorders>
              <w:top w:val="nil"/>
              <w:left w:val="nil"/>
              <w:bottom w:val="nil"/>
              <w:right w:val="nil"/>
            </w:tcBorders>
            <w:shd w:val="clear" w:color="000000" w:fill="FFFFFF"/>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OTHER COMPREHENSIVE INCOME, NET OF TAX (B1)+(B2)=(B)</w:t>
            </w:r>
          </w:p>
        </w:tc>
        <w:tc>
          <w:tcPr>
            <w:tcW w:w="508"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(4,388)</w:t>
            </w:r>
          </w:p>
        </w:tc>
        <w:tc>
          <w:tcPr>
            <w:tcW w:w="521"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(3,801)</w:t>
            </w:r>
          </w:p>
        </w:tc>
        <w:tc>
          <w:tcPr>
            <w:tcW w:w="505"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(5,479)</w:t>
            </w:r>
          </w:p>
        </w:tc>
        <w:tc>
          <w:tcPr>
            <w:tcW w:w="438"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(3,049)</w:t>
            </w:r>
          </w:p>
        </w:tc>
      </w:tr>
      <w:tr w:rsidR="009072DB" w:rsidRPr="009C238A" w:rsidTr="009072DB">
        <w:trPr>
          <w:trHeight w:val="270"/>
        </w:trPr>
        <w:tc>
          <w:tcPr>
            <w:tcW w:w="3028"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COMPREHENSIVE INCOME (A)+(B)</w:t>
            </w:r>
          </w:p>
        </w:tc>
        <w:tc>
          <w:tcPr>
            <w:tcW w:w="508"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15,626</w:t>
            </w:r>
          </w:p>
        </w:tc>
        <w:tc>
          <w:tcPr>
            <w:tcW w:w="521"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17,615</w:t>
            </w:r>
          </w:p>
        </w:tc>
        <w:tc>
          <w:tcPr>
            <w:tcW w:w="505"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55,576</w:t>
            </w:r>
          </w:p>
        </w:tc>
        <w:tc>
          <w:tcPr>
            <w:tcW w:w="438" w:type="pct"/>
            <w:tcBorders>
              <w:top w:val="single" w:sz="4" w:space="0" w:color="auto"/>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63,906</w:t>
            </w:r>
          </w:p>
        </w:tc>
      </w:tr>
      <w:tr w:rsidR="009072DB" w:rsidRPr="009C238A" w:rsidTr="009072DB">
        <w:trPr>
          <w:trHeight w:val="270"/>
        </w:trPr>
        <w:tc>
          <w:tcPr>
            <w:tcW w:w="3028" w:type="pct"/>
            <w:tcBorders>
              <w:top w:val="nil"/>
              <w:left w:val="nil"/>
              <w:bottom w:val="nil"/>
              <w:right w:val="nil"/>
            </w:tcBorders>
            <w:shd w:val="clear" w:color="000000" w:fill="FFFFFF"/>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Including:</w:t>
            </w:r>
          </w:p>
        </w:tc>
        <w:tc>
          <w:tcPr>
            <w:tcW w:w="50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52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505"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43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255"/>
        </w:trPr>
        <w:tc>
          <w:tcPr>
            <w:tcW w:w="3028"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 amount attributable to minority interests </w:t>
            </w:r>
          </w:p>
        </w:tc>
        <w:tc>
          <w:tcPr>
            <w:tcW w:w="50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43</w:t>
            </w:r>
          </w:p>
        </w:tc>
        <w:tc>
          <w:tcPr>
            <w:tcW w:w="52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101</w:t>
            </w:r>
          </w:p>
        </w:tc>
        <w:tc>
          <w:tcPr>
            <w:tcW w:w="505"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280</w:t>
            </w:r>
          </w:p>
        </w:tc>
        <w:tc>
          <w:tcPr>
            <w:tcW w:w="438"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295</w:t>
            </w:r>
          </w:p>
        </w:tc>
      </w:tr>
      <w:tr w:rsidR="009072DB" w:rsidRPr="009C238A" w:rsidTr="009072DB">
        <w:trPr>
          <w:trHeight w:val="270"/>
        </w:trPr>
        <w:tc>
          <w:tcPr>
            <w:tcW w:w="3028" w:type="pct"/>
            <w:tcBorders>
              <w:top w:val="nil"/>
              <w:left w:val="nil"/>
              <w:bottom w:val="double" w:sz="6" w:space="0" w:color="auto"/>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 </w:t>
            </w:r>
            <w:r w:rsidRPr="009C238A">
              <w:rPr>
                <w:bCs/>
                <w:color w:val="000000" w:themeColor="text1"/>
                <w:sz w:val="20"/>
                <w:szCs w:val="20"/>
                <w:lang w:val="en-US"/>
              </w:rPr>
              <w:t xml:space="preserve">amount attributable to </w:t>
            </w:r>
            <w:r w:rsidRPr="009C238A">
              <w:rPr>
                <w:color w:val="000000" w:themeColor="text1"/>
                <w:sz w:val="20"/>
                <w:szCs w:val="20"/>
                <w:lang w:val="en-US"/>
              </w:rPr>
              <w:t>Parent Company shareholders</w:t>
            </w:r>
          </w:p>
        </w:tc>
        <w:tc>
          <w:tcPr>
            <w:tcW w:w="508" w:type="pct"/>
            <w:tcBorders>
              <w:top w:val="nil"/>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15,583</w:t>
            </w:r>
          </w:p>
        </w:tc>
        <w:tc>
          <w:tcPr>
            <w:tcW w:w="521" w:type="pct"/>
            <w:tcBorders>
              <w:top w:val="nil"/>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17,514</w:t>
            </w:r>
          </w:p>
        </w:tc>
        <w:tc>
          <w:tcPr>
            <w:tcW w:w="505" w:type="pct"/>
            <w:tcBorders>
              <w:top w:val="nil"/>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55,296</w:t>
            </w:r>
          </w:p>
        </w:tc>
        <w:tc>
          <w:tcPr>
            <w:tcW w:w="438" w:type="pct"/>
            <w:tcBorders>
              <w:top w:val="nil"/>
              <w:left w:val="nil"/>
              <w:bottom w:val="double" w:sz="6"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63,611</w:t>
            </w:r>
          </w:p>
        </w:tc>
      </w:tr>
    </w:tbl>
    <w:p w:rsidR="009072DB" w:rsidRPr="009C238A" w:rsidRDefault="009072DB" w:rsidP="009072DB">
      <w:pPr>
        <w:tabs>
          <w:tab w:val="left" w:pos="567"/>
          <w:tab w:val="left" w:pos="1134"/>
          <w:tab w:val="left" w:pos="1702"/>
          <w:tab w:val="left" w:pos="2269"/>
          <w:tab w:val="left" w:pos="2835"/>
          <w:tab w:val="left" w:pos="3402"/>
          <w:tab w:val="left" w:pos="3969"/>
        </w:tabs>
        <w:jc w:val="center"/>
        <w:outlineLvl w:val="1"/>
        <w:rPr>
          <w:b/>
          <w:bCs/>
          <w:highlight w:val="yellow"/>
          <w:u w:val="single"/>
          <w:lang w:val="en-US"/>
        </w:rPr>
      </w:pPr>
    </w:p>
    <w:p w:rsidR="009072DB" w:rsidRPr="009C238A" w:rsidRDefault="009072DB" w:rsidP="009072DB">
      <w:pPr>
        <w:autoSpaceDE w:val="0"/>
        <w:autoSpaceDN w:val="0"/>
        <w:adjustRightInd w:val="0"/>
        <w:jc w:val="both"/>
        <w:rPr>
          <w:color w:val="000000" w:themeColor="text1"/>
          <w:sz w:val="18"/>
          <w:szCs w:val="18"/>
          <w:lang w:val="en-US"/>
        </w:rPr>
      </w:pPr>
      <w:r w:rsidRPr="009C238A">
        <w:rPr>
          <w:color w:val="000000"/>
          <w:sz w:val="16"/>
          <w:szCs w:val="16"/>
          <w:lang w:val="en-US" w:eastAsia="en-US"/>
        </w:rPr>
        <w:t>(*)</w:t>
      </w:r>
      <w:r w:rsidRPr="009C238A">
        <w:rPr>
          <w:color w:val="000000" w:themeColor="text1"/>
          <w:sz w:val="18"/>
          <w:szCs w:val="18"/>
          <w:lang w:val="en-US"/>
        </w:rPr>
        <w:t>Following the retrospective application of the amendment to IAS 19 from January 1, 2013 the comparative figures of the first half  2012 have been restated as required by IAS 1.</w:t>
      </w:r>
      <w:r w:rsidRPr="009C238A">
        <w:rPr>
          <w:color w:val="000000" w:themeColor="text1"/>
          <w:sz w:val="18"/>
          <w:szCs w:val="18"/>
          <w:lang w:val="en-US" w:eastAsia="en-US"/>
        </w:rPr>
        <w:t xml:space="preserve"> The relative effect compared with the previously reported figures reflects a decrease in the comprehensive income of the first nine months of 2012 equal to 1,054 thousand euros (351 thousand euros in the third quarter 2012).  </w:t>
      </w:r>
      <w:r w:rsidRPr="009C238A">
        <w:rPr>
          <w:color w:val="000000" w:themeColor="text1"/>
          <w:sz w:val="18"/>
          <w:szCs w:val="18"/>
          <w:lang w:val="en-US"/>
        </w:rPr>
        <w:t>See section “New accounting principles” of the Report on operations for additional information.</w:t>
      </w:r>
    </w:p>
    <w:p w:rsidR="009072DB" w:rsidRPr="009C238A" w:rsidRDefault="009072DB" w:rsidP="009072DB">
      <w:pPr>
        <w:jc w:val="both"/>
        <w:rPr>
          <w:lang w:val="en-US"/>
        </w:rPr>
      </w:pPr>
    </w:p>
    <w:p w:rsidR="009072DB" w:rsidRPr="009C238A" w:rsidRDefault="009072DB" w:rsidP="009072DB">
      <w:pPr>
        <w:rPr>
          <w:lang w:val="en-US"/>
        </w:rPr>
      </w:pPr>
    </w:p>
    <w:p w:rsidR="009072DB" w:rsidRPr="009C238A" w:rsidRDefault="009072DB" w:rsidP="009072DB">
      <w:pPr>
        <w:rPr>
          <w:lang w:val="en-US"/>
        </w:rPr>
      </w:pPr>
    </w:p>
    <w:p w:rsidR="009072DB" w:rsidRPr="009C238A" w:rsidRDefault="009072DB" w:rsidP="009072DB">
      <w:pPr>
        <w:rPr>
          <w:lang w:val="en-US"/>
        </w:rPr>
      </w:pPr>
      <w:r w:rsidRPr="009C238A">
        <w:rPr>
          <w:lang w:val="en-US"/>
        </w:rPr>
        <w:br w:type="page"/>
      </w:r>
    </w:p>
    <w:p w:rsidR="009072DB" w:rsidRPr="0038626F" w:rsidRDefault="009072DB" w:rsidP="0038626F">
      <w:pPr>
        <w:pStyle w:val="Titolo2"/>
        <w:rPr>
          <w:b/>
        </w:rPr>
      </w:pPr>
      <w:bookmarkStart w:id="57" w:name="_Toc237667821"/>
      <w:r w:rsidRPr="009C238A">
        <w:lastRenderedPageBreak/>
        <w:t xml:space="preserve">                             </w:t>
      </w:r>
      <w:bookmarkStart w:id="58" w:name="_Toc245837756"/>
      <w:r w:rsidRPr="0038626F">
        <w:rPr>
          <w:b/>
        </w:rPr>
        <w:t>CONSOLIDATED STATEMENT OF FINANCIAL POSITION</w:t>
      </w:r>
      <w:bookmarkEnd w:id="57"/>
      <w:bookmarkEnd w:id="58"/>
    </w:p>
    <w:p w:rsidR="009072DB" w:rsidRPr="009C238A" w:rsidRDefault="009072DB" w:rsidP="009072DB">
      <w:pPr>
        <w:rPr>
          <w:lang w:val="en-US"/>
        </w:rPr>
      </w:pPr>
    </w:p>
    <w:tbl>
      <w:tblPr>
        <w:tblW w:w="5000" w:type="pct"/>
        <w:tblCellMar>
          <w:left w:w="70" w:type="dxa"/>
          <w:right w:w="70" w:type="dxa"/>
        </w:tblCellMar>
        <w:tblLook w:val="04A0"/>
      </w:tblPr>
      <w:tblGrid>
        <w:gridCol w:w="5418"/>
        <w:gridCol w:w="700"/>
        <w:gridCol w:w="1858"/>
        <w:gridCol w:w="1803"/>
      </w:tblGrid>
      <w:tr w:rsidR="009072DB" w:rsidRPr="009C238A" w:rsidTr="009072DB">
        <w:trPr>
          <w:trHeight w:val="525"/>
        </w:trPr>
        <w:tc>
          <w:tcPr>
            <w:tcW w:w="277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18"/>
                <w:szCs w:val="18"/>
                <w:lang w:val="en-US"/>
              </w:rPr>
              <w:t>(in thousands of euros)</w:t>
            </w:r>
          </w:p>
        </w:tc>
        <w:tc>
          <w:tcPr>
            <w:tcW w:w="35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center"/>
              <w:rPr>
                <w:b/>
                <w:bCs/>
                <w:sz w:val="20"/>
                <w:szCs w:val="20"/>
                <w:lang w:val="en-US"/>
              </w:rPr>
            </w:pPr>
            <w:r w:rsidRPr="009C238A">
              <w:rPr>
                <w:b/>
                <w:bCs/>
                <w:sz w:val="20"/>
                <w:szCs w:val="20"/>
                <w:lang w:val="en-US"/>
              </w:rPr>
              <w:t>notes</w:t>
            </w:r>
          </w:p>
        </w:tc>
        <w:tc>
          <w:tcPr>
            <w:tcW w:w="950"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922"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12/31/2012 (*)</w:t>
            </w:r>
          </w:p>
        </w:tc>
      </w:tr>
      <w:tr w:rsidR="009072DB" w:rsidRPr="009C238A" w:rsidTr="009072DB">
        <w:trPr>
          <w:trHeight w:val="300"/>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b/>
                <w:bCs/>
                <w:sz w:val="20"/>
                <w:szCs w:val="20"/>
                <w:lang w:val="en-US"/>
              </w:rPr>
            </w:pPr>
            <w:r w:rsidRPr="009C238A">
              <w:rPr>
                <w:b/>
                <w:bCs/>
                <w:sz w:val="20"/>
                <w:szCs w:val="20"/>
                <w:lang w:val="en-US"/>
              </w:rPr>
              <w:t>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20"/>
                <w:szCs w:val="20"/>
                <w:lang w:val="en-US"/>
              </w:rPr>
            </w:pP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20"/>
                <w:szCs w:val="20"/>
                <w:lang w:val="en-US"/>
              </w:rPr>
            </w:pPr>
          </w:p>
        </w:tc>
      </w:tr>
      <w:tr w:rsidR="009072DB" w:rsidRPr="009C238A" w:rsidTr="009072DB">
        <w:trPr>
          <w:trHeight w:val="203"/>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Non-current 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r>
      <w:tr w:rsidR="009072DB" w:rsidRPr="009C238A" w:rsidTr="009072DB">
        <w:trPr>
          <w:trHeight w:val="90"/>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Property, plant and equipment</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(10)</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65,182</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65,316</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Goodwill</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(11)</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66,203</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67,689</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Other intangibles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(11)</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55,308</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57,587</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Equity investments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(12)</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491</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177</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Deferred-tax 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(13)</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20,603</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21,342</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Other non-current 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(14)</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1,776</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881</w:t>
            </w:r>
          </w:p>
        </w:tc>
      </w:tr>
      <w:tr w:rsidR="009072DB" w:rsidRPr="009C238A" w:rsidTr="009072DB">
        <w:trPr>
          <w:trHeight w:val="73"/>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Total non-current 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EA42FF" w:rsidP="009072DB">
            <w:pPr>
              <w:jc w:val="right"/>
              <w:rPr>
                <w:i/>
                <w:iCs/>
                <w:sz w:val="20"/>
                <w:szCs w:val="20"/>
                <w:lang w:val="en-US"/>
              </w:rPr>
            </w:pPr>
            <w:r>
              <w:rPr>
                <w:i/>
                <w:iCs/>
                <w:sz w:val="20"/>
                <w:szCs w:val="20"/>
                <w:lang w:val="en-US"/>
              </w:rPr>
              <w:t>209,563</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212,992</w:t>
            </w:r>
          </w:p>
        </w:tc>
      </w:tr>
      <w:tr w:rsidR="009072DB" w:rsidRPr="009C238A" w:rsidTr="009072DB">
        <w:trPr>
          <w:trHeight w:val="203"/>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Current 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90"/>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Inventories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(15)</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85,015</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83,972</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Trade receivables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(16)</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113,559</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113,788</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Other current financial 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(20)</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150</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263</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Other current 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(17)</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8,077</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10,540</w:t>
            </w:r>
          </w:p>
        </w:tc>
      </w:tr>
      <w:tr w:rsidR="009072DB" w:rsidRPr="009C238A" w:rsidTr="009072DB">
        <w:trPr>
          <w:trHeight w:val="255"/>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Cash and cash equivalent</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(18)</w:t>
            </w: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92,361</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104,599</w:t>
            </w:r>
          </w:p>
        </w:tc>
      </w:tr>
      <w:tr w:rsidR="009072DB" w:rsidRPr="009C238A" w:rsidTr="009072DB">
        <w:trPr>
          <w:trHeight w:val="289"/>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Total current assets</w:t>
            </w: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center"/>
              <w:rPr>
                <w:i/>
                <w:iCs/>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299,162</w:t>
            </w: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313,162</w:t>
            </w:r>
          </w:p>
        </w:tc>
      </w:tr>
      <w:tr w:rsidR="009072DB" w:rsidRPr="009C238A" w:rsidTr="009072DB">
        <w:trPr>
          <w:trHeight w:val="203"/>
        </w:trPr>
        <w:tc>
          <w:tcPr>
            <w:tcW w:w="2770"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35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5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922"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70"/>
        </w:trPr>
        <w:tc>
          <w:tcPr>
            <w:tcW w:w="2770"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ASSETS</w:t>
            </w:r>
          </w:p>
        </w:tc>
        <w:tc>
          <w:tcPr>
            <w:tcW w:w="35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950"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508,725</w:t>
            </w:r>
          </w:p>
        </w:tc>
        <w:tc>
          <w:tcPr>
            <w:tcW w:w="922"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526,154</w:t>
            </w:r>
          </w:p>
        </w:tc>
      </w:tr>
    </w:tbl>
    <w:p w:rsidR="009072DB" w:rsidRPr="009C238A" w:rsidRDefault="009072DB" w:rsidP="009072DB">
      <w:pPr>
        <w:rPr>
          <w:lang w:val="en-US"/>
        </w:rPr>
      </w:pPr>
    </w:p>
    <w:p w:rsidR="009072DB" w:rsidRPr="009C238A" w:rsidRDefault="009072DB" w:rsidP="009072DB">
      <w:pPr>
        <w:jc w:val="both"/>
        <w:rPr>
          <w:sz w:val="20"/>
          <w:szCs w:val="20"/>
          <w:lang w:val="en-US"/>
        </w:rPr>
      </w:pPr>
      <w:r w:rsidRPr="009C238A">
        <w:rPr>
          <w:color w:val="000000"/>
          <w:sz w:val="16"/>
          <w:szCs w:val="16"/>
          <w:lang w:val="en-US" w:eastAsia="en-US"/>
        </w:rPr>
        <w:t>(*)</w:t>
      </w:r>
      <w:r w:rsidRPr="009C238A">
        <w:rPr>
          <w:color w:val="000000" w:themeColor="text1"/>
          <w:sz w:val="18"/>
          <w:szCs w:val="18"/>
          <w:lang w:val="en-US"/>
        </w:rPr>
        <w:t>Following the retrospective application of the amendment to IAS 19 from January 1, 2013 the comparative figures at January 1 and December 31, 2012 have been restated as required by IAS 1. More specifically, the figure for deferred tax assets reported in the Consolidated Financial Statements at 31 December 2012 has increased by 1,134 thousand euros. See section “New accounting principles” of the Report on operations for additional information</w:t>
      </w:r>
    </w:p>
    <w:p w:rsidR="009072DB" w:rsidRPr="009C238A" w:rsidRDefault="009072DB" w:rsidP="009072DB">
      <w:pPr>
        <w:pStyle w:val="Titolo1"/>
        <w:tabs>
          <w:tab w:val="clear" w:pos="432"/>
        </w:tabs>
        <w:jc w:val="center"/>
        <w:rPr>
          <w:smallCaps/>
          <w:u w:val="words"/>
        </w:rPr>
      </w:pPr>
      <w:r w:rsidRPr="009C238A">
        <w:br w:type="page"/>
      </w:r>
      <w:bookmarkStart w:id="59" w:name="_Toc205196793"/>
    </w:p>
    <w:bookmarkEnd w:id="59"/>
    <w:p w:rsidR="009072DB" w:rsidRPr="009C238A" w:rsidRDefault="009072DB" w:rsidP="009072DB">
      <w:pPr>
        <w:ind w:left="708" w:firstLine="708"/>
        <w:jc w:val="both"/>
        <w:rPr>
          <w:i/>
          <w:iCs/>
          <w:color w:val="000000" w:themeColor="text1"/>
          <w:sz w:val="20"/>
          <w:szCs w:val="20"/>
          <w:lang w:val="en-US"/>
        </w:rPr>
      </w:pPr>
      <w:r w:rsidRPr="009C238A">
        <w:rPr>
          <w:b/>
          <w:bCs/>
          <w:smallCaps/>
          <w:color w:val="000000" w:themeColor="text1"/>
          <w:lang w:val="en-US"/>
        </w:rPr>
        <w:lastRenderedPageBreak/>
        <w:t>CONSOLIDATED STATEMENT OF FINANCIAL POSITION</w:t>
      </w:r>
      <w:r w:rsidRPr="009C238A">
        <w:rPr>
          <w:b/>
          <w:bCs/>
          <w:color w:val="000000" w:themeColor="text1"/>
          <w:sz w:val="20"/>
          <w:szCs w:val="20"/>
          <w:lang w:val="en-US"/>
        </w:rPr>
        <w:t xml:space="preserve"> </w:t>
      </w:r>
      <w:r w:rsidRPr="009C238A">
        <w:rPr>
          <w:i/>
          <w:iCs/>
          <w:color w:val="000000" w:themeColor="text1"/>
          <w:sz w:val="20"/>
          <w:szCs w:val="20"/>
          <w:lang w:val="en-US"/>
        </w:rPr>
        <w:t>(continued)</w:t>
      </w:r>
    </w:p>
    <w:p w:rsidR="009072DB" w:rsidRPr="009C238A" w:rsidRDefault="009072DB" w:rsidP="009072DB">
      <w:pPr>
        <w:rPr>
          <w:b/>
          <w:bCs/>
          <w:sz w:val="20"/>
          <w:szCs w:val="20"/>
          <w:lang w:val="en-US"/>
        </w:rPr>
      </w:pPr>
    </w:p>
    <w:p w:rsidR="009072DB" w:rsidRPr="009C238A" w:rsidRDefault="009072DB" w:rsidP="009072DB">
      <w:pPr>
        <w:rPr>
          <w:b/>
          <w:bCs/>
          <w:sz w:val="20"/>
          <w:szCs w:val="20"/>
          <w:lang w:val="en-US"/>
        </w:rPr>
      </w:pPr>
    </w:p>
    <w:tbl>
      <w:tblPr>
        <w:tblW w:w="5000" w:type="pct"/>
        <w:tblCellMar>
          <w:left w:w="70" w:type="dxa"/>
          <w:right w:w="70" w:type="dxa"/>
        </w:tblCellMar>
        <w:tblLook w:val="04A0"/>
      </w:tblPr>
      <w:tblGrid>
        <w:gridCol w:w="6386"/>
        <w:gridCol w:w="585"/>
        <w:gridCol w:w="1404"/>
        <w:gridCol w:w="1404"/>
      </w:tblGrid>
      <w:tr w:rsidR="009072DB" w:rsidRPr="009C238A" w:rsidTr="009072DB">
        <w:trPr>
          <w:trHeight w:val="270"/>
        </w:trPr>
        <w:tc>
          <w:tcPr>
            <w:tcW w:w="3265"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299"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center"/>
              <w:rPr>
                <w:b/>
                <w:bCs/>
                <w:sz w:val="20"/>
                <w:szCs w:val="20"/>
                <w:lang w:val="en-US"/>
              </w:rPr>
            </w:pPr>
            <w:r w:rsidRPr="009C238A">
              <w:rPr>
                <w:b/>
                <w:bCs/>
                <w:sz w:val="20"/>
                <w:szCs w:val="20"/>
                <w:lang w:val="en-US"/>
              </w:rPr>
              <w:t>notes</w:t>
            </w:r>
          </w:p>
        </w:tc>
        <w:tc>
          <w:tcPr>
            <w:tcW w:w="71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71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12/31/2012 (*)</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LIABILITIES AND SHAREHOLDERS’ EQUITY</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Shareholders’ equity</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Share capital</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(19)</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55,908</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55,863</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Additional paid-in capital</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(19)</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17,007</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15,967</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Statutory reserve</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(19)</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11,181</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11,168</w:t>
            </w:r>
          </w:p>
        </w:tc>
      </w:tr>
      <w:tr w:rsidR="009072DB" w:rsidRPr="009C238A" w:rsidTr="009072DB">
        <w:trPr>
          <w:trHeight w:val="255"/>
        </w:trPr>
        <w:tc>
          <w:tcPr>
            <w:tcW w:w="3265" w:type="pct"/>
            <w:tcBorders>
              <w:top w:val="nil"/>
              <w:left w:val="nil"/>
              <w:bottom w:val="nil"/>
              <w:right w:val="nil"/>
            </w:tcBorders>
            <w:shd w:val="clear" w:color="000000" w:fill="FFFFFF"/>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Other reserves and retained earnings</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(19)</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294,838</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238,996</w:t>
            </w:r>
          </w:p>
        </w:tc>
      </w:tr>
      <w:tr w:rsidR="009072DB" w:rsidRPr="009C238A" w:rsidTr="009072DB">
        <w:trPr>
          <w:trHeight w:val="255"/>
        </w:trPr>
        <w:tc>
          <w:tcPr>
            <w:tcW w:w="3265"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Treasury stock</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(44,882)</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(44,882)</w:t>
            </w:r>
          </w:p>
        </w:tc>
      </w:tr>
      <w:tr w:rsidR="009072DB" w:rsidRPr="009C238A" w:rsidTr="009072DB">
        <w:trPr>
          <w:trHeight w:val="255"/>
        </w:trPr>
        <w:tc>
          <w:tcPr>
            <w:tcW w:w="3265"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Net profit for the period attributable to shareholders of the Parent Company</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60,767</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87,396</w:t>
            </w:r>
          </w:p>
        </w:tc>
      </w:tr>
      <w:tr w:rsidR="009072DB" w:rsidRPr="009C238A" w:rsidTr="009072DB">
        <w:trPr>
          <w:trHeight w:val="255"/>
        </w:trPr>
        <w:tc>
          <w:tcPr>
            <w:tcW w:w="3265"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Shareholders’ equity attributable to shareholders of the Parent Company</w:t>
            </w:r>
          </w:p>
        </w:tc>
        <w:tc>
          <w:tcPr>
            <w:tcW w:w="29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center"/>
              <w:rPr>
                <w:i/>
                <w:iCs/>
                <w:sz w:val="20"/>
                <w:szCs w:val="20"/>
                <w:lang w:val="en-US"/>
              </w:rPr>
            </w:pPr>
            <w:r w:rsidRPr="009C238A">
              <w:rPr>
                <w:i/>
                <w:iCs/>
                <w:sz w:val="20"/>
                <w:szCs w:val="20"/>
                <w:lang w:val="en-US"/>
              </w:rPr>
              <w:t> </w:t>
            </w:r>
          </w:p>
        </w:tc>
        <w:tc>
          <w:tcPr>
            <w:tcW w:w="7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394,819</w:t>
            </w:r>
          </w:p>
        </w:tc>
        <w:tc>
          <w:tcPr>
            <w:tcW w:w="7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364,508</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center"/>
              <w:rPr>
                <w:b/>
                <w:bCs/>
                <w:color w:val="FF0000"/>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center"/>
              <w:rPr>
                <w:b/>
                <w:bCs/>
                <w:color w:val="FF0000"/>
                <w:sz w:val="20"/>
                <w:szCs w:val="20"/>
                <w:lang w:val="en-US"/>
              </w:rPr>
            </w:pPr>
          </w:p>
        </w:tc>
      </w:tr>
      <w:tr w:rsidR="009072DB" w:rsidRPr="009C238A" w:rsidTr="009072DB">
        <w:trPr>
          <w:trHeight w:val="255"/>
        </w:trPr>
        <w:tc>
          <w:tcPr>
            <w:tcW w:w="3265" w:type="pct"/>
            <w:tcBorders>
              <w:top w:val="nil"/>
              <w:left w:val="nil"/>
              <w:bottom w:val="nil"/>
              <w:right w:val="nil"/>
            </w:tcBorders>
            <w:shd w:val="clear" w:color="000000" w:fill="FFFFFF"/>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Other reserves and retained earnings attributable to minority interests</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486</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206</w:t>
            </w:r>
          </w:p>
        </w:tc>
      </w:tr>
      <w:tr w:rsidR="009072DB" w:rsidRPr="009C238A" w:rsidTr="009072DB">
        <w:trPr>
          <w:trHeight w:val="255"/>
        </w:trPr>
        <w:tc>
          <w:tcPr>
            <w:tcW w:w="3265"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Net profit for the year attributable to minority interests</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288</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288</w:t>
            </w:r>
          </w:p>
        </w:tc>
      </w:tr>
      <w:tr w:rsidR="009072DB" w:rsidRPr="009C238A" w:rsidTr="009072DB">
        <w:trPr>
          <w:trHeight w:val="255"/>
        </w:trPr>
        <w:tc>
          <w:tcPr>
            <w:tcW w:w="3265"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Shareholders’ equity attributable to minority interests</w:t>
            </w:r>
          </w:p>
        </w:tc>
        <w:tc>
          <w:tcPr>
            <w:tcW w:w="29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center"/>
              <w:rPr>
                <w:i/>
                <w:iCs/>
                <w:sz w:val="20"/>
                <w:szCs w:val="20"/>
                <w:lang w:val="en-US"/>
              </w:rPr>
            </w:pPr>
            <w:r w:rsidRPr="009C238A">
              <w:rPr>
                <w:i/>
                <w:iCs/>
                <w:sz w:val="20"/>
                <w:szCs w:val="20"/>
                <w:lang w:val="en-US"/>
              </w:rPr>
              <w:t> </w:t>
            </w:r>
          </w:p>
        </w:tc>
        <w:tc>
          <w:tcPr>
            <w:tcW w:w="7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774</w:t>
            </w:r>
          </w:p>
        </w:tc>
        <w:tc>
          <w:tcPr>
            <w:tcW w:w="7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494</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r>
      <w:tr w:rsidR="009072DB" w:rsidRPr="009C238A" w:rsidTr="009072DB">
        <w:trPr>
          <w:trHeight w:val="270"/>
        </w:trPr>
        <w:tc>
          <w:tcPr>
            <w:tcW w:w="3265"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shareholders’ equity</w:t>
            </w:r>
          </w:p>
        </w:tc>
        <w:tc>
          <w:tcPr>
            <w:tcW w:w="299"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71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395,593</w:t>
            </w:r>
          </w:p>
        </w:tc>
        <w:tc>
          <w:tcPr>
            <w:tcW w:w="71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365,002</w:t>
            </w:r>
          </w:p>
        </w:tc>
      </w:tr>
      <w:tr w:rsidR="009072DB" w:rsidRPr="009C238A" w:rsidTr="009072DB">
        <w:trPr>
          <w:trHeight w:val="270"/>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Non-current liabilities</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Long-term borrowings </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(20)</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431</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4,548</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Provisions for employee severance indemnities and other employee benefits </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(21)</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26,350</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25,802</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Deferred-tax liabilities </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(13)</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3,394</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3,579</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Other non-current liabilities </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(22)</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3,878</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3,417</w:t>
            </w:r>
          </w:p>
        </w:tc>
      </w:tr>
      <w:tr w:rsidR="009072DB" w:rsidRPr="009C238A" w:rsidTr="009072DB">
        <w:trPr>
          <w:trHeight w:val="255"/>
        </w:trPr>
        <w:tc>
          <w:tcPr>
            <w:tcW w:w="3265"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Total non-current liabilities</w:t>
            </w:r>
          </w:p>
        </w:tc>
        <w:tc>
          <w:tcPr>
            <w:tcW w:w="29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center"/>
              <w:rPr>
                <w:i/>
                <w:iCs/>
                <w:sz w:val="20"/>
                <w:szCs w:val="20"/>
                <w:lang w:val="en-US"/>
              </w:rPr>
            </w:pPr>
            <w:r w:rsidRPr="009C238A">
              <w:rPr>
                <w:i/>
                <w:iCs/>
                <w:sz w:val="20"/>
                <w:szCs w:val="20"/>
                <w:lang w:val="en-US"/>
              </w:rPr>
              <w:t> </w:t>
            </w:r>
          </w:p>
        </w:tc>
        <w:tc>
          <w:tcPr>
            <w:tcW w:w="7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34,053</w:t>
            </w:r>
          </w:p>
        </w:tc>
        <w:tc>
          <w:tcPr>
            <w:tcW w:w="7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37,346</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Current liabilities</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i/>
                <w:iCs/>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Trade payables </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(23)</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33,623</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37,206</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Other current liabilities </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(24)</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24,897</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24,572</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Liabilities to the shareholders for the dividend</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(24)</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45,080</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Taxes payable </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(25)</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12,632</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8,882</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Current portion of medium and long-term debt </w:t>
            </w: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center"/>
              <w:rPr>
                <w:sz w:val="20"/>
                <w:szCs w:val="20"/>
                <w:lang w:val="en-US"/>
              </w:rPr>
            </w:pPr>
            <w:r w:rsidRPr="009C238A">
              <w:rPr>
                <w:sz w:val="20"/>
                <w:szCs w:val="20"/>
                <w:lang w:val="en-US"/>
              </w:rPr>
              <w:t>(20)</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7,927</w:t>
            </w: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8,066</w:t>
            </w:r>
          </w:p>
        </w:tc>
      </w:tr>
      <w:tr w:rsidR="009072DB" w:rsidRPr="009C238A" w:rsidTr="009072DB">
        <w:trPr>
          <w:trHeight w:val="255"/>
        </w:trPr>
        <w:tc>
          <w:tcPr>
            <w:tcW w:w="3265"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Total current liabilities</w:t>
            </w:r>
          </w:p>
        </w:tc>
        <w:tc>
          <w:tcPr>
            <w:tcW w:w="29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 </w:t>
            </w:r>
          </w:p>
        </w:tc>
        <w:tc>
          <w:tcPr>
            <w:tcW w:w="7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79,079</w:t>
            </w:r>
          </w:p>
        </w:tc>
        <w:tc>
          <w:tcPr>
            <w:tcW w:w="7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123,806</w:t>
            </w:r>
          </w:p>
        </w:tc>
      </w:tr>
      <w:tr w:rsidR="009072DB" w:rsidRPr="009C238A" w:rsidTr="009072DB">
        <w:trPr>
          <w:trHeight w:val="255"/>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70"/>
        </w:trPr>
        <w:tc>
          <w:tcPr>
            <w:tcW w:w="3265"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liabilities</w:t>
            </w:r>
          </w:p>
        </w:tc>
        <w:tc>
          <w:tcPr>
            <w:tcW w:w="299"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71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113,132</w:t>
            </w:r>
          </w:p>
        </w:tc>
        <w:tc>
          <w:tcPr>
            <w:tcW w:w="71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161,152</w:t>
            </w:r>
          </w:p>
        </w:tc>
      </w:tr>
      <w:tr w:rsidR="009072DB" w:rsidRPr="009C238A" w:rsidTr="009072DB">
        <w:trPr>
          <w:trHeight w:val="270"/>
        </w:trPr>
        <w:tc>
          <w:tcPr>
            <w:tcW w:w="32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29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c>
          <w:tcPr>
            <w:tcW w:w="71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70"/>
        </w:trPr>
        <w:tc>
          <w:tcPr>
            <w:tcW w:w="3265"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LIABILITIES AND SHAREHOLDERS’ EQUITY</w:t>
            </w:r>
          </w:p>
        </w:tc>
        <w:tc>
          <w:tcPr>
            <w:tcW w:w="299"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w:t>
            </w:r>
          </w:p>
        </w:tc>
        <w:tc>
          <w:tcPr>
            <w:tcW w:w="71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508,725</w:t>
            </w:r>
          </w:p>
        </w:tc>
        <w:tc>
          <w:tcPr>
            <w:tcW w:w="71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526,154</w:t>
            </w:r>
          </w:p>
        </w:tc>
      </w:tr>
    </w:tbl>
    <w:p w:rsidR="009072DB" w:rsidRPr="009C238A" w:rsidRDefault="009072DB" w:rsidP="009072DB">
      <w:pPr>
        <w:rPr>
          <w:b/>
          <w:bCs/>
          <w:sz w:val="20"/>
          <w:szCs w:val="20"/>
          <w:lang w:val="en-US"/>
        </w:rPr>
      </w:pPr>
    </w:p>
    <w:p w:rsidR="009072DB" w:rsidRPr="009C238A" w:rsidRDefault="009072DB" w:rsidP="009072DB">
      <w:pPr>
        <w:autoSpaceDE w:val="0"/>
        <w:autoSpaceDN w:val="0"/>
        <w:adjustRightInd w:val="0"/>
        <w:jc w:val="both"/>
        <w:rPr>
          <w:color w:val="000000" w:themeColor="text1"/>
          <w:sz w:val="14"/>
          <w:szCs w:val="14"/>
          <w:lang w:val="en-US"/>
        </w:rPr>
      </w:pPr>
      <w:r w:rsidRPr="009C238A">
        <w:rPr>
          <w:color w:val="000000"/>
          <w:sz w:val="16"/>
          <w:szCs w:val="16"/>
          <w:lang w:val="en-US" w:eastAsia="en-US"/>
        </w:rPr>
        <w:t>(*)</w:t>
      </w:r>
      <w:r w:rsidRPr="009C238A">
        <w:rPr>
          <w:color w:val="000000" w:themeColor="text1"/>
          <w:sz w:val="18"/>
          <w:szCs w:val="18"/>
          <w:lang w:val="en-US"/>
        </w:rPr>
        <w:t>Following the retrospective application of the amendment to IAS 19 from January 1, 2013 the comparative figures at January 1 and December 31, 2012 have been restated as required by IAS 1. More specifically, the figure for employee benefit plans reported in the Consolidated Financial Statements at December 31, 2012 has increased by 4,213 thousand euros and the figure for closing Shareholders’ equity has decreased by 3,079 thousand euros, relating to closing Shareholders’ equity attributable to owners of the Group Parents company</w:t>
      </w:r>
      <w:r w:rsidRPr="009C238A">
        <w:rPr>
          <w:color w:val="000000" w:themeColor="text1"/>
          <w:sz w:val="16"/>
          <w:szCs w:val="16"/>
          <w:lang w:val="en-US"/>
        </w:rPr>
        <w:t xml:space="preserve">. </w:t>
      </w:r>
      <w:r w:rsidRPr="009C238A">
        <w:rPr>
          <w:color w:val="000000" w:themeColor="text1"/>
          <w:sz w:val="18"/>
          <w:szCs w:val="18"/>
          <w:lang w:val="en-US"/>
        </w:rPr>
        <w:t>See section “New accounting principles” of the Report on operations for additional information.</w:t>
      </w:r>
    </w:p>
    <w:p w:rsidR="009072DB" w:rsidRPr="0038626F" w:rsidRDefault="009072DB" w:rsidP="0038626F">
      <w:pPr>
        <w:pStyle w:val="Titolo2"/>
        <w:rPr>
          <w:b/>
          <w:smallCaps/>
          <w:color w:val="000000" w:themeColor="text1"/>
          <w:highlight w:val="yellow"/>
        </w:rPr>
      </w:pPr>
      <w:r w:rsidRPr="009C238A">
        <w:rPr>
          <w:smallCaps/>
          <w:color w:val="000000" w:themeColor="text1"/>
          <w:highlight w:val="yellow"/>
        </w:rPr>
        <w:br w:type="page"/>
      </w:r>
      <w:bookmarkStart w:id="60" w:name="_Toc237667822"/>
      <w:r w:rsidR="0038626F">
        <w:rPr>
          <w:smallCaps/>
          <w:color w:val="000000" w:themeColor="text1"/>
        </w:rPr>
        <w:lastRenderedPageBreak/>
        <w:t xml:space="preserve">                                              </w:t>
      </w:r>
      <w:r w:rsidR="001F1417">
        <w:rPr>
          <w:smallCaps/>
          <w:color w:val="000000" w:themeColor="text1"/>
        </w:rPr>
        <w:t xml:space="preserve"> </w:t>
      </w:r>
      <w:bookmarkStart w:id="61" w:name="_Toc245837757"/>
      <w:r w:rsidRPr="0038626F">
        <w:rPr>
          <w:b/>
        </w:rPr>
        <w:t>CONSOLIDATED STATEMENT OF CASH FLOWS</w:t>
      </w:r>
      <w:bookmarkEnd w:id="60"/>
      <w:bookmarkEnd w:id="61"/>
    </w:p>
    <w:p w:rsidR="009072DB" w:rsidRPr="009C238A" w:rsidRDefault="009072DB" w:rsidP="009072DB">
      <w:pPr>
        <w:rPr>
          <w:smallCaps/>
          <w:lang w:val="en-US"/>
        </w:rPr>
      </w:pPr>
    </w:p>
    <w:tbl>
      <w:tblPr>
        <w:tblW w:w="5037" w:type="pct"/>
        <w:tblLayout w:type="fixed"/>
        <w:tblCellMar>
          <w:left w:w="70" w:type="dxa"/>
          <w:right w:w="70" w:type="dxa"/>
        </w:tblCellMar>
        <w:tblLook w:val="04A0"/>
      </w:tblPr>
      <w:tblGrid>
        <w:gridCol w:w="6763"/>
        <w:gridCol w:w="831"/>
        <w:gridCol w:w="709"/>
        <w:gridCol w:w="780"/>
        <w:gridCol w:w="768"/>
      </w:tblGrid>
      <w:tr w:rsidR="009072DB" w:rsidRPr="009C238A" w:rsidTr="009072DB">
        <w:trPr>
          <w:trHeight w:val="255"/>
        </w:trPr>
        <w:tc>
          <w:tcPr>
            <w:tcW w:w="3432" w:type="pct"/>
            <w:vMerge w:val="restart"/>
            <w:tcBorders>
              <w:top w:val="single" w:sz="4" w:space="0" w:color="auto"/>
              <w:left w:val="nil"/>
              <w:bottom w:val="single" w:sz="4" w:space="0" w:color="000000"/>
              <w:right w:val="nil"/>
            </w:tcBorders>
            <w:shd w:val="clear" w:color="000000" w:fill="FFFFFF"/>
            <w:noWrap/>
            <w:vAlign w:val="center"/>
            <w:hideMark/>
          </w:tcPr>
          <w:p w:rsidR="009072DB" w:rsidRPr="009C238A" w:rsidRDefault="009072DB" w:rsidP="009072DB">
            <w:pPr>
              <w:rPr>
                <w:i/>
                <w:iCs/>
                <w:sz w:val="16"/>
                <w:szCs w:val="16"/>
                <w:lang w:val="en-US"/>
              </w:rPr>
            </w:pPr>
            <w:r w:rsidRPr="009C238A">
              <w:rPr>
                <w:i/>
                <w:iCs/>
                <w:color w:val="000000" w:themeColor="text1"/>
                <w:sz w:val="18"/>
                <w:szCs w:val="18"/>
                <w:lang w:val="en-US"/>
              </w:rPr>
              <w:t>(in thousands of euros)</w:t>
            </w:r>
          </w:p>
        </w:tc>
        <w:tc>
          <w:tcPr>
            <w:tcW w:w="782" w:type="pct"/>
            <w:gridSpan w:val="2"/>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center"/>
              <w:rPr>
                <w:b/>
                <w:bCs/>
                <w:sz w:val="16"/>
                <w:szCs w:val="16"/>
                <w:lang w:val="en-US"/>
              </w:rPr>
            </w:pPr>
            <w:r w:rsidRPr="009C238A">
              <w:rPr>
                <w:b/>
                <w:bCs/>
                <w:sz w:val="16"/>
                <w:szCs w:val="16"/>
                <w:lang w:val="en-US"/>
              </w:rPr>
              <w:t>3</w:t>
            </w:r>
            <w:r w:rsidRPr="009C238A">
              <w:rPr>
                <w:b/>
                <w:bCs/>
                <w:sz w:val="18"/>
                <w:szCs w:val="16"/>
                <w:vertAlign w:val="superscript"/>
                <w:lang w:val="en-US"/>
              </w:rPr>
              <w:t>rd</w:t>
            </w:r>
            <w:r w:rsidRPr="009C238A">
              <w:rPr>
                <w:b/>
                <w:bCs/>
                <w:sz w:val="16"/>
                <w:szCs w:val="16"/>
                <w:lang w:val="en-US"/>
              </w:rPr>
              <w:t xml:space="preserve"> quarter</w:t>
            </w:r>
          </w:p>
        </w:tc>
        <w:tc>
          <w:tcPr>
            <w:tcW w:w="787" w:type="pct"/>
            <w:gridSpan w:val="2"/>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center"/>
              <w:rPr>
                <w:b/>
                <w:bCs/>
                <w:sz w:val="16"/>
                <w:szCs w:val="16"/>
                <w:lang w:val="en-US"/>
              </w:rPr>
            </w:pPr>
            <w:r w:rsidRPr="009C238A">
              <w:rPr>
                <w:b/>
                <w:bCs/>
                <w:sz w:val="16"/>
                <w:szCs w:val="16"/>
                <w:lang w:val="en-US"/>
              </w:rPr>
              <w:t>First nine months</w:t>
            </w:r>
          </w:p>
        </w:tc>
      </w:tr>
      <w:tr w:rsidR="009072DB" w:rsidRPr="009C238A" w:rsidTr="009072DB">
        <w:trPr>
          <w:trHeight w:val="420"/>
        </w:trPr>
        <w:tc>
          <w:tcPr>
            <w:tcW w:w="3432" w:type="pct"/>
            <w:vMerge/>
            <w:tcBorders>
              <w:top w:val="single" w:sz="4" w:space="0" w:color="auto"/>
              <w:left w:val="nil"/>
              <w:bottom w:val="single" w:sz="4" w:space="0" w:color="000000"/>
              <w:right w:val="nil"/>
            </w:tcBorders>
            <w:vAlign w:val="center"/>
            <w:hideMark/>
          </w:tcPr>
          <w:p w:rsidR="009072DB" w:rsidRPr="009C238A" w:rsidRDefault="009072DB" w:rsidP="009072DB">
            <w:pPr>
              <w:rPr>
                <w:i/>
                <w:iCs/>
                <w:sz w:val="16"/>
                <w:szCs w:val="16"/>
                <w:lang w:val="en-US"/>
              </w:rPr>
            </w:pPr>
          </w:p>
        </w:tc>
        <w:tc>
          <w:tcPr>
            <w:tcW w:w="422"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16"/>
                <w:szCs w:val="16"/>
                <w:lang w:val="en-US"/>
              </w:rPr>
            </w:pPr>
            <w:r w:rsidRPr="009C238A">
              <w:rPr>
                <w:b/>
                <w:bCs/>
                <w:sz w:val="16"/>
                <w:szCs w:val="16"/>
                <w:lang w:val="en-US"/>
              </w:rPr>
              <w:t>2013</w:t>
            </w:r>
          </w:p>
        </w:tc>
        <w:tc>
          <w:tcPr>
            <w:tcW w:w="360"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16"/>
                <w:szCs w:val="16"/>
                <w:lang w:val="en-US"/>
              </w:rPr>
            </w:pPr>
            <w:r w:rsidRPr="009C238A">
              <w:rPr>
                <w:b/>
                <w:bCs/>
                <w:sz w:val="16"/>
                <w:szCs w:val="16"/>
                <w:lang w:val="en-US"/>
              </w:rPr>
              <w:t>2012</w:t>
            </w:r>
          </w:p>
        </w:tc>
        <w:tc>
          <w:tcPr>
            <w:tcW w:w="396"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16"/>
                <w:szCs w:val="16"/>
                <w:lang w:val="en-US"/>
              </w:rPr>
            </w:pPr>
            <w:r w:rsidRPr="009C238A">
              <w:rPr>
                <w:b/>
                <w:bCs/>
                <w:sz w:val="16"/>
                <w:szCs w:val="16"/>
                <w:lang w:val="en-US"/>
              </w:rPr>
              <w:t>2013</w:t>
            </w:r>
          </w:p>
        </w:tc>
        <w:tc>
          <w:tcPr>
            <w:tcW w:w="391"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16"/>
                <w:szCs w:val="16"/>
                <w:lang w:val="en-US"/>
              </w:rPr>
            </w:pPr>
            <w:r w:rsidRPr="009C238A">
              <w:rPr>
                <w:b/>
                <w:bCs/>
                <w:sz w:val="16"/>
                <w:szCs w:val="16"/>
                <w:lang w:val="en-US"/>
              </w:rPr>
              <w:t>2012</w:t>
            </w:r>
          </w:p>
        </w:tc>
      </w:tr>
      <w:tr w:rsidR="009072DB" w:rsidRPr="00923B29" w:rsidTr="009072DB">
        <w:trPr>
          <w:trHeight w:val="255"/>
        </w:trPr>
        <w:tc>
          <w:tcPr>
            <w:tcW w:w="3432" w:type="pct"/>
            <w:tcBorders>
              <w:top w:val="nil"/>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Cash flow from operating activities</w:t>
            </w:r>
          </w:p>
        </w:tc>
        <w:tc>
          <w:tcPr>
            <w:tcW w:w="422"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 </w:t>
            </w:r>
          </w:p>
        </w:tc>
        <w:tc>
          <w:tcPr>
            <w:tcW w:w="360"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 </w:t>
            </w:r>
          </w:p>
        </w:tc>
        <w:tc>
          <w:tcPr>
            <w:tcW w:w="396"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 </w:t>
            </w:r>
          </w:p>
        </w:tc>
        <w:tc>
          <w:tcPr>
            <w:tcW w:w="391" w:type="pct"/>
            <w:tcBorders>
              <w:top w:val="nil"/>
              <w:left w:val="nil"/>
              <w:bottom w:val="single" w:sz="4" w:space="0" w:color="auto"/>
              <w:right w:val="nil"/>
            </w:tcBorders>
            <w:shd w:val="clear" w:color="000000" w:fill="FFFFFF"/>
            <w:noWrap/>
            <w:vAlign w:val="center"/>
            <w:hideMark/>
          </w:tcPr>
          <w:p w:rsidR="009072DB" w:rsidRPr="009C238A" w:rsidRDefault="009072DB" w:rsidP="009072DB">
            <w:pPr>
              <w:jc w:val="right"/>
              <w:rPr>
                <w:b/>
                <w:bCs/>
                <w:sz w:val="16"/>
                <w:szCs w:val="16"/>
                <w:lang w:val="en-US"/>
              </w:rPr>
            </w:pPr>
            <w:r w:rsidRPr="009C238A">
              <w:rPr>
                <w:b/>
                <w:bCs/>
                <w:sz w:val="16"/>
                <w:szCs w:val="16"/>
                <w:lang w:val="en-US"/>
              </w:rPr>
              <w:t> </w:t>
            </w:r>
          </w:p>
        </w:tc>
      </w:tr>
      <w:tr w:rsidR="009072DB" w:rsidRPr="009C238A" w:rsidTr="009072DB">
        <w:trPr>
          <w:trHeight w:val="255"/>
        </w:trPr>
        <w:tc>
          <w:tcPr>
            <w:tcW w:w="3432" w:type="pct"/>
            <w:tcBorders>
              <w:top w:val="nil"/>
              <w:left w:val="nil"/>
              <w:bottom w:val="nil"/>
              <w:right w:val="nil"/>
            </w:tcBorders>
            <w:shd w:val="clear" w:color="000000" w:fill="FFFFFF"/>
            <w:vAlign w:val="center"/>
            <w:hideMark/>
          </w:tcPr>
          <w:p w:rsidR="009072DB" w:rsidRPr="009C238A" w:rsidRDefault="009072DB" w:rsidP="009072DB">
            <w:pPr>
              <w:jc w:val="both"/>
              <w:rPr>
                <w:color w:val="000000"/>
                <w:sz w:val="16"/>
                <w:szCs w:val="16"/>
                <w:lang w:val="en-US"/>
              </w:rPr>
            </w:pPr>
            <w:r w:rsidRPr="009C238A">
              <w:rPr>
                <w:color w:val="000000" w:themeColor="text1"/>
                <w:sz w:val="16"/>
                <w:szCs w:val="16"/>
                <w:lang w:val="en-US"/>
              </w:rPr>
              <w:t xml:space="preserve">Net profit for the period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20,014</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21,416</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61,055</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66,955</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Adjustment for:</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 </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Income taxes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10,764</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12,410</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36,437</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39,972</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Depreciation and amortization</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6,913</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7,356</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21,203</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21,496</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Financial expense/ (income)</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937</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578</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3,806</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2,223</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Additions to/ (Utilizations of) provisions for risk</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339</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387</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377</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(896)</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(Gains)/Losses on sales of non-current assets</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40</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52</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103</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Additions to/(Reversals of) provisions for employee severance indemnities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585</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217</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675</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505</w:t>
            </w:r>
          </w:p>
        </w:tc>
      </w:tr>
      <w:tr w:rsidR="009072DB" w:rsidRPr="00923B29"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Changes in shareholders’ equity reserves:</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 </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Stock option reserve</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370</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448</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1,107</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1,312</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Cumulative translation adjustment from operating activities</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(1,069)</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(1,331)</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(1,347)</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(390)</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   - Change in other non current-assets/liabilities</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555</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(18)</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(56)</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(3,016)</w:t>
            </w:r>
          </w:p>
        </w:tc>
      </w:tr>
      <w:tr w:rsidR="009072DB" w:rsidRPr="009C238A" w:rsidTr="009072DB">
        <w:trPr>
          <w:trHeight w:val="255"/>
        </w:trPr>
        <w:tc>
          <w:tcPr>
            <w:tcW w:w="343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Cash flow from operating activities before changes in working capital</w:t>
            </w:r>
          </w:p>
        </w:tc>
        <w:tc>
          <w:tcPr>
            <w:tcW w:w="422"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39,410</w:t>
            </w:r>
          </w:p>
        </w:tc>
        <w:tc>
          <w:tcPr>
            <w:tcW w:w="36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41,503</w:t>
            </w:r>
          </w:p>
        </w:tc>
        <w:tc>
          <w:tcPr>
            <w:tcW w:w="3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123,309</w:t>
            </w:r>
          </w:p>
        </w:tc>
        <w:tc>
          <w:tcPr>
            <w:tcW w:w="3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128,264</w:t>
            </w:r>
          </w:p>
        </w:tc>
      </w:tr>
      <w:tr w:rsidR="009072DB" w:rsidRPr="009C238A" w:rsidTr="009072DB">
        <w:trPr>
          <w:trHeight w:val="158"/>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sz w:val="16"/>
                <w:szCs w:val="16"/>
                <w:lang w:val="en-US"/>
              </w:rPr>
              <w:t>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 </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(Increase)/Decrease in receivables included in working capital</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6,399</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4,367</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(1,504)</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5,412</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(Increase)/Decrease in inventories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400</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(743)</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(2,492)</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(3,566)</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Increase/(Decrease) in trade payables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(1,843)</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(3,352)</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(3,325)</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(5,064)</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(Increase)/Decrease in other current items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(690)</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5,233</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(368)</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3,757</w:t>
            </w:r>
          </w:p>
        </w:tc>
      </w:tr>
      <w:tr w:rsidR="009072DB" w:rsidRPr="009C238A" w:rsidTr="009072DB">
        <w:trPr>
          <w:trHeight w:val="255"/>
        </w:trPr>
        <w:tc>
          <w:tcPr>
            <w:tcW w:w="343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Cash from operating activities</w:t>
            </w:r>
          </w:p>
        </w:tc>
        <w:tc>
          <w:tcPr>
            <w:tcW w:w="422"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43,676</w:t>
            </w:r>
          </w:p>
        </w:tc>
        <w:tc>
          <w:tcPr>
            <w:tcW w:w="36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47,008</w:t>
            </w:r>
          </w:p>
        </w:tc>
        <w:tc>
          <w:tcPr>
            <w:tcW w:w="3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115,620</w:t>
            </w:r>
          </w:p>
        </w:tc>
        <w:tc>
          <w:tcPr>
            <w:tcW w:w="3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128,803</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Income taxes paid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(6,476)</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(16,344)</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(28,624)</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(42,109)</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Interest paid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(494)</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(592)</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(1,546)</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(1,704)</w:t>
            </w:r>
          </w:p>
        </w:tc>
      </w:tr>
      <w:tr w:rsidR="009072DB" w:rsidRPr="009C238A" w:rsidTr="009072DB">
        <w:trPr>
          <w:trHeight w:val="255"/>
        </w:trPr>
        <w:tc>
          <w:tcPr>
            <w:tcW w:w="343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Net cash from operating activities</w:t>
            </w:r>
          </w:p>
        </w:tc>
        <w:tc>
          <w:tcPr>
            <w:tcW w:w="422"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36,706</w:t>
            </w:r>
          </w:p>
        </w:tc>
        <w:tc>
          <w:tcPr>
            <w:tcW w:w="36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30,072</w:t>
            </w:r>
          </w:p>
        </w:tc>
        <w:tc>
          <w:tcPr>
            <w:tcW w:w="3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85,450</w:t>
            </w:r>
          </w:p>
        </w:tc>
        <w:tc>
          <w:tcPr>
            <w:tcW w:w="3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84,990</w:t>
            </w:r>
          </w:p>
        </w:tc>
      </w:tr>
      <w:tr w:rsidR="009072DB" w:rsidRPr="009C238A" w:rsidTr="009072DB">
        <w:trPr>
          <w:trHeight w:val="169"/>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sz w:val="16"/>
                <w:szCs w:val="16"/>
                <w:lang w:val="en-US"/>
              </w:rPr>
              <w:t>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16"/>
                <w:szCs w:val="16"/>
                <w:lang w:val="en-US"/>
              </w:rPr>
            </w:pP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16"/>
                <w:szCs w:val="16"/>
                <w:lang w:val="en-US"/>
              </w:rPr>
            </w:pP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16"/>
                <w:szCs w:val="16"/>
                <w:lang w:val="en-US"/>
              </w:rPr>
            </w:pP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16"/>
                <w:szCs w:val="16"/>
                <w:lang w:val="en-US"/>
              </w:rPr>
            </w:pPr>
            <w:r w:rsidRPr="009C238A">
              <w:rPr>
                <w:b/>
                <w:bCs/>
                <w:sz w:val="16"/>
                <w:szCs w:val="16"/>
                <w:lang w:val="en-US"/>
              </w:rPr>
              <w:t> </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Investments in intangibles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(1,212)</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(1,207)</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(3,371)</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(3,376)</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 xml:space="preserve">Investments in property, plant and equipment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(7,879)</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(6,931)</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(20,050)</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(19,350)</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Retirements of property, plant and equipment</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437</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(28)</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2,366</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1,262</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sz w:val="16"/>
                <w:szCs w:val="16"/>
                <w:lang w:val="en-US"/>
              </w:rPr>
              <w:t>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 </w:t>
            </w:r>
          </w:p>
        </w:tc>
      </w:tr>
      <w:tr w:rsidR="009072DB" w:rsidRPr="009C238A" w:rsidTr="009072DB">
        <w:trPr>
          <w:trHeight w:val="398"/>
        </w:trPr>
        <w:tc>
          <w:tcPr>
            <w:tcW w:w="343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Cash used in regular investing activities</w:t>
            </w:r>
          </w:p>
        </w:tc>
        <w:tc>
          <w:tcPr>
            <w:tcW w:w="422"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(8,654)</w:t>
            </w:r>
          </w:p>
        </w:tc>
        <w:tc>
          <w:tcPr>
            <w:tcW w:w="36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(8,166)</w:t>
            </w:r>
          </w:p>
        </w:tc>
        <w:tc>
          <w:tcPr>
            <w:tcW w:w="3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(21,055)</w:t>
            </w:r>
          </w:p>
        </w:tc>
        <w:tc>
          <w:tcPr>
            <w:tcW w:w="3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(21,464)</w:t>
            </w:r>
          </w:p>
        </w:tc>
      </w:tr>
      <w:tr w:rsidR="009072DB" w:rsidRPr="009C238A" w:rsidTr="009072DB">
        <w:trPr>
          <w:trHeight w:val="28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Acquisitions of subsidiaries and business operations</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270</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(7,600)</w:t>
            </w:r>
          </w:p>
        </w:tc>
      </w:tr>
      <w:tr w:rsidR="009072DB" w:rsidRPr="009C238A" w:rsidTr="009072DB">
        <w:trPr>
          <w:trHeight w:val="398"/>
        </w:trPr>
        <w:tc>
          <w:tcPr>
            <w:tcW w:w="343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Cash used in investing activities</w:t>
            </w:r>
          </w:p>
        </w:tc>
        <w:tc>
          <w:tcPr>
            <w:tcW w:w="422"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(8,654)</w:t>
            </w:r>
          </w:p>
        </w:tc>
        <w:tc>
          <w:tcPr>
            <w:tcW w:w="36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(8,166)</w:t>
            </w:r>
          </w:p>
        </w:tc>
        <w:tc>
          <w:tcPr>
            <w:tcW w:w="3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(20,785)</w:t>
            </w:r>
          </w:p>
        </w:tc>
        <w:tc>
          <w:tcPr>
            <w:tcW w:w="3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(29,064)</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432C5" w:rsidP="009072DB">
            <w:pPr>
              <w:rPr>
                <w:sz w:val="16"/>
                <w:szCs w:val="16"/>
                <w:lang w:val="en-US"/>
              </w:rPr>
            </w:pPr>
            <w:r>
              <w:rPr>
                <w:color w:val="000000" w:themeColor="text1"/>
                <w:sz w:val="16"/>
                <w:szCs w:val="16"/>
                <w:lang w:val="en-US"/>
              </w:rPr>
              <w:t>(Repayment of)/Proceeds from loan and other financial obligations</w:t>
            </w:r>
            <w:r w:rsidR="009072DB" w:rsidRPr="009C238A">
              <w:rPr>
                <w:color w:val="000000" w:themeColor="text1"/>
                <w:sz w:val="16"/>
                <w:szCs w:val="16"/>
                <w:lang w:val="en-US"/>
              </w:rPr>
              <w:t xml:space="preserve">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(2,106)</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(155)</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(4,192)</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(4,703)</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1F1417" w:rsidP="009072DB">
            <w:pPr>
              <w:rPr>
                <w:sz w:val="16"/>
                <w:szCs w:val="16"/>
                <w:lang w:val="en-US"/>
              </w:rPr>
            </w:pPr>
            <w:r w:rsidRPr="009C238A">
              <w:rPr>
                <w:color w:val="000000" w:themeColor="text1"/>
                <w:sz w:val="16"/>
                <w:szCs w:val="16"/>
                <w:lang w:val="en-US"/>
              </w:rPr>
              <w:t>Increase in share capital and additional paid-in capital/Dividend distribution</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(71,172)</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(22,755)</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751604" w:rsidP="009072DB">
            <w:pPr>
              <w:rPr>
                <w:sz w:val="16"/>
                <w:szCs w:val="16"/>
                <w:lang w:val="en-US"/>
              </w:rPr>
            </w:pPr>
            <w:r>
              <w:rPr>
                <w:sz w:val="16"/>
                <w:szCs w:val="16"/>
                <w:lang w:val="en-US"/>
              </w:rPr>
              <w:t>Equity investments</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(66)</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(561)</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w:t>
            </w:r>
          </w:p>
        </w:tc>
      </w:tr>
      <w:tr w:rsidR="009072DB" w:rsidRPr="009C238A" w:rsidTr="009072DB">
        <w:trPr>
          <w:trHeight w:val="25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color w:val="000000" w:themeColor="text1"/>
                <w:sz w:val="16"/>
                <w:szCs w:val="16"/>
                <w:lang w:val="en-US"/>
              </w:rPr>
              <w:t>Foreign exchange translation effect</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(1,025)</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161</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(978)</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(858)</w:t>
            </w:r>
          </w:p>
        </w:tc>
      </w:tr>
      <w:tr w:rsidR="009072DB" w:rsidRPr="009C238A" w:rsidTr="009072DB">
        <w:trPr>
          <w:trHeight w:val="390"/>
        </w:trPr>
        <w:tc>
          <w:tcPr>
            <w:tcW w:w="343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Cash used in financing activities</w:t>
            </w:r>
          </w:p>
        </w:tc>
        <w:tc>
          <w:tcPr>
            <w:tcW w:w="422"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(3,197)</w:t>
            </w:r>
          </w:p>
        </w:tc>
        <w:tc>
          <w:tcPr>
            <w:tcW w:w="36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6</w:t>
            </w:r>
          </w:p>
        </w:tc>
        <w:tc>
          <w:tcPr>
            <w:tcW w:w="3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(76,903)</w:t>
            </w:r>
          </w:p>
        </w:tc>
        <w:tc>
          <w:tcPr>
            <w:tcW w:w="3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(28,316)</w:t>
            </w:r>
          </w:p>
        </w:tc>
      </w:tr>
      <w:tr w:rsidR="009072DB" w:rsidRPr="009C238A" w:rsidTr="009072DB">
        <w:trPr>
          <w:trHeight w:val="225"/>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sz w:val="16"/>
                <w:szCs w:val="16"/>
                <w:lang w:val="en-US"/>
              </w:rPr>
            </w:pPr>
            <w:r w:rsidRPr="009C238A">
              <w:rPr>
                <w:sz w:val="16"/>
                <w:szCs w:val="16"/>
                <w:lang w:val="en-US"/>
              </w:rPr>
              <w:t> </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sz w:val="16"/>
                <w:szCs w:val="16"/>
                <w:lang w:val="en-US"/>
              </w:rPr>
            </w:pPr>
            <w:r w:rsidRPr="009C238A">
              <w:rPr>
                <w:sz w:val="16"/>
                <w:szCs w:val="16"/>
                <w:lang w:val="en-US"/>
              </w:rPr>
              <w:t> </w:t>
            </w:r>
          </w:p>
        </w:tc>
      </w:tr>
      <w:tr w:rsidR="009072DB" w:rsidRPr="009C238A" w:rsidTr="009072DB">
        <w:trPr>
          <w:trHeight w:val="375"/>
        </w:trPr>
        <w:tc>
          <w:tcPr>
            <w:tcW w:w="343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Net change in cash and cash equivalents</w:t>
            </w:r>
          </w:p>
        </w:tc>
        <w:tc>
          <w:tcPr>
            <w:tcW w:w="422"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24,855</w:t>
            </w:r>
          </w:p>
        </w:tc>
        <w:tc>
          <w:tcPr>
            <w:tcW w:w="36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21,912</w:t>
            </w:r>
          </w:p>
        </w:tc>
        <w:tc>
          <w:tcPr>
            <w:tcW w:w="3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(12,238)</w:t>
            </w:r>
          </w:p>
        </w:tc>
        <w:tc>
          <w:tcPr>
            <w:tcW w:w="3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27,610</w:t>
            </w:r>
          </w:p>
        </w:tc>
      </w:tr>
      <w:tr w:rsidR="009072DB" w:rsidRPr="009C238A" w:rsidTr="009072DB">
        <w:trPr>
          <w:trHeight w:val="432"/>
        </w:trPr>
        <w:tc>
          <w:tcPr>
            <w:tcW w:w="3432" w:type="pct"/>
            <w:tcBorders>
              <w:top w:val="nil"/>
              <w:left w:val="nil"/>
              <w:bottom w:val="nil"/>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CASH AND CASH EQUIVALENTS AT BEGINNING OF PERIOD</w:t>
            </w:r>
          </w:p>
        </w:tc>
        <w:tc>
          <w:tcPr>
            <w:tcW w:w="422"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67,506</w:t>
            </w:r>
          </w:p>
        </w:tc>
        <w:tc>
          <w:tcPr>
            <w:tcW w:w="360"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69,843</w:t>
            </w:r>
          </w:p>
        </w:tc>
        <w:tc>
          <w:tcPr>
            <w:tcW w:w="396"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104,599</w:t>
            </w:r>
          </w:p>
        </w:tc>
        <w:tc>
          <w:tcPr>
            <w:tcW w:w="391" w:type="pct"/>
            <w:tcBorders>
              <w:top w:val="nil"/>
              <w:left w:val="nil"/>
              <w:bottom w:val="nil"/>
              <w:right w:val="nil"/>
            </w:tcBorders>
            <w:shd w:val="clear" w:color="000000" w:fill="FFFFFF"/>
            <w:noWrap/>
            <w:vAlign w:val="center"/>
            <w:hideMark/>
          </w:tcPr>
          <w:p w:rsidR="009072DB" w:rsidRPr="009C238A" w:rsidRDefault="009072DB" w:rsidP="009072DB">
            <w:pPr>
              <w:jc w:val="right"/>
              <w:rPr>
                <w:b/>
                <w:bCs/>
                <w:sz w:val="16"/>
                <w:szCs w:val="16"/>
                <w:lang w:val="en-US"/>
              </w:rPr>
            </w:pPr>
            <w:r w:rsidRPr="009C238A">
              <w:rPr>
                <w:b/>
                <w:bCs/>
                <w:sz w:val="16"/>
                <w:szCs w:val="16"/>
                <w:lang w:val="en-US"/>
              </w:rPr>
              <w:t>64,145</w:t>
            </w:r>
          </w:p>
        </w:tc>
      </w:tr>
      <w:tr w:rsidR="009072DB" w:rsidRPr="009C238A" w:rsidTr="009072DB">
        <w:trPr>
          <w:trHeight w:val="432"/>
        </w:trPr>
        <w:tc>
          <w:tcPr>
            <w:tcW w:w="343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CASH AND CASH EQUIVALENTS AT END OF PERIOD</w:t>
            </w:r>
          </w:p>
        </w:tc>
        <w:tc>
          <w:tcPr>
            <w:tcW w:w="422"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92,361</w:t>
            </w:r>
          </w:p>
        </w:tc>
        <w:tc>
          <w:tcPr>
            <w:tcW w:w="36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91,755</w:t>
            </w:r>
          </w:p>
        </w:tc>
        <w:tc>
          <w:tcPr>
            <w:tcW w:w="3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92,361</w:t>
            </w:r>
          </w:p>
        </w:tc>
        <w:tc>
          <w:tcPr>
            <w:tcW w:w="3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16"/>
                <w:szCs w:val="16"/>
                <w:lang w:val="en-US"/>
              </w:rPr>
            </w:pPr>
            <w:r w:rsidRPr="009C238A">
              <w:rPr>
                <w:b/>
                <w:bCs/>
                <w:sz w:val="16"/>
                <w:szCs w:val="16"/>
                <w:lang w:val="en-US"/>
              </w:rPr>
              <w:t>91,755</w:t>
            </w:r>
          </w:p>
        </w:tc>
      </w:tr>
    </w:tbl>
    <w:p w:rsidR="009072DB" w:rsidRPr="009C238A" w:rsidRDefault="009072DB" w:rsidP="009072DB">
      <w:pPr>
        <w:rPr>
          <w:smallCaps/>
          <w:lang w:val="en-US"/>
        </w:rPr>
      </w:pPr>
    </w:p>
    <w:p w:rsidR="009072DB" w:rsidRPr="009C238A" w:rsidRDefault="009072DB" w:rsidP="009072DB">
      <w:pPr>
        <w:outlineLvl w:val="0"/>
        <w:rPr>
          <w:b/>
          <w:smallCaps/>
          <w:lang w:val="en-US"/>
        </w:rPr>
      </w:pPr>
    </w:p>
    <w:p w:rsidR="009072DB" w:rsidRPr="009C238A" w:rsidRDefault="009072DB" w:rsidP="009072DB">
      <w:pPr>
        <w:rPr>
          <w:bCs/>
          <w:sz w:val="20"/>
          <w:szCs w:val="20"/>
          <w:lang w:val="en-US"/>
        </w:rPr>
      </w:pPr>
      <w:r w:rsidRPr="009C238A">
        <w:rPr>
          <w:bCs/>
          <w:sz w:val="20"/>
          <w:szCs w:val="20"/>
          <w:lang w:val="en-US"/>
        </w:rPr>
        <w:br w:type="page"/>
      </w:r>
    </w:p>
    <w:p w:rsidR="009072DB" w:rsidRPr="001C64A6" w:rsidRDefault="009072DB" w:rsidP="009072DB">
      <w:pPr>
        <w:pStyle w:val="Titolo2"/>
        <w:tabs>
          <w:tab w:val="clear" w:pos="576"/>
          <w:tab w:val="num" w:pos="0"/>
        </w:tabs>
        <w:ind w:left="0" w:firstLine="0"/>
        <w:rPr>
          <w:b/>
          <w:smallCaps/>
        </w:rPr>
      </w:pPr>
      <w:bookmarkStart w:id="62" w:name="_Toc237667823"/>
      <w:r w:rsidRPr="009C238A">
        <w:t xml:space="preserve">     </w:t>
      </w:r>
      <w:bookmarkStart w:id="63" w:name="_Toc245738350"/>
      <w:bookmarkStart w:id="64" w:name="_Toc245837758"/>
      <w:r w:rsidRPr="001C64A6">
        <w:rPr>
          <w:b/>
        </w:rPr>
        <w:t>STATEMENT OF CHANGES IN CONSOLIDATED SHAREHOLDERS’ EQUITY</w:t>
      </w:r>
      <w:bookmarkEnd w:id="62"/>
      <w:bookmarkEnd w:id="63"/>
      <w:bookmarkEnd w:id="64"/>
    </w:p>
    <w:p w:rsidR="009072DB" w:rsidRPr="009C238A" w:rsidRDefault="009072DB" w:rsidP="009072DB">
      <w:pPr>
        <w:tabs>
          <w:tab w:val="left" w:pos="6946"/>
          <w:tab w:val="left" w:pos="7088"/>
        </w:tabs>
        <w:jc w:val="center"/>
        <w:outlineLvl w:val="0"/>
        <w:rPr>
          <w:b/>
          <w:bCs/>
          <w:smallCaps/>
          <w:lang w:val="en-US"/>
        </w:rPr>
      </w:pPr>
    </w:p>
    <w:p w:rsidR="009072DB" w:rsidRPr="009C238A" w:rsidRDefault="009072DB" w:rsidP="009072DB">
      <w:pPr>
        <w:rPr>
          <w:highlight w:val="yellow"/>
          <w:lang w:val="en-US"/>
        </w:rPr>
      </w:pPr>
    </w:p>
    <w:p w:rsidR="009072DB" w:rsidRPr="009C238A" w:rsidRDefault="009072DB" w:rsidP="009072DB">
      <w:pPr>
        <w:rPr>
          <w:highlight w:val="yellow"/>
          <w:lang w:val="en-US"/>
        </w:rPr>
      </w:pPr>
    </w:p>
    <w:p w:rsidR="009072DB" w:rsidRPr="009C238A" w:rsidRDefault="009072DB" w:rsidP="009072DB">
      <w:pPr>
        <w:rPr>
          <w:highlight w:val="yellow"/>
          <w:lang w:val="en-US"/>
        </w:rPr>
      </w:pPr>
    </w:p>
    <w:tbl>
      <w:tblPr>
        <w:tblW w:w="5133" w:type="pct"/>
        <w:tblInd w:w="-639" w:type="dxa"/>
        <w:tblLayout w:type="fixed"/>
        <w:tblCellMar>
          <w:left w:w="70" w:type="dxa"/>
          <w:right w:w="70" w:type="dxa"/>
        </w:tblCellMar>
        <w:tblLook w:val="04A0"/>
      </w:tblPr>
      <w:tblGrid>
        <w:gridCol w:w="1805"/>
        <w:gridCol w:w="612"/>
        <w:gridCol w:w="647"/>
        <w:gridCol w:w="624"/>
        <w:gridCol w:w="695"/>
        <w:gridCol w:w="566"/>
        <w:gridCol w:w="564"/>
        <w:gridCol w:w="564"/>
        <w:gridCol w:w="632"/>
        <w:gridCol w:w="665"/>
        <w:gridCol w:w="715"/>
        <w:gridCol w:w="715"/>
        <w:gridCol w:w="566"/>
        <w:gridCol w:w="669"/>
      </w:tblGrid>
      <w:tr w:rsidR="009072DB" w:rsidRPr="009C238A" w:rsidTr="00EA42FF">
        <w:trPr>
          <w:trHeight w:val="1215"/>
        </w:trPr>
        <w:tc>
          <w:tcPr>
            <w:tcW w:w="89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ind w:right="-355"/>
              <w:rPr>
                <w:i/>
                <w:iCs/>
                <w:sz w:val="14"/>
                <w:szCs w:val="14"/>
                <w:lang w:val="en-US"/>
              </w:rPr>
            </w:pPr>
            <w:r w:rsidRPr="009C238A">
              <w:rPr>
                <w:i/>
                <w:iCs/>
                <w:color w:val="000000" w:themeColor="text1"/>
                <w:sz w:val="14"/>
                <w:szCs w:val="14"/>
                <w:lang w:val="en-US"/>
              </w:rPr>
              <w:t>(in thousands of euros)</w:t>
            </w:r>
          </w:p>
        </w:tc>
        <w:tc>
          <w:tcPr>
            <w:tcW w:w="30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sz w:val="14"/>
                <w:szCs w:val="14"/>
                <w:lang w:val="en-US"/>
              </w:rPr>
            </w:pPr>
            <w:r w:rsidRPr="009C238A">
              <w:rPr>
                <w:color w:val="000000" w:themeColor="text1"/>
                <w:sz w:val="14"/>
                <w:szCs w:val="14"/>
                <w:lang w:val="en-US"/>
              </w:rPr>
              <w:t>Share capital</w:t>
            </w:r>
          </w:p>
        </w:tc>
        <w:tc>
          <w:tcPr>
            <w:tcW w:w="32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sz w:val="14"/>
                <w:szCs w:val="14"/>
                <w:lang w:val="en-US"/>
              </w:rPr>
            </w:pPr>
            <w:r w:rsidRPr="009C238A">
              <w:rPr>
                <w:color w:val="000000" w:themeColor="text1"/>
                <w:sz w:val="14"/>
                <w:szCs w:val="14"/>
                <w:lang w:val="en-US"/>
              </w:rPr>
              <w:t>Additional paid-in capital</w:t>
            </w:r>
          </w:p>
        </w:tc>
        <w:tc>
          <w:tcPr>
            <w:tcW w:w="31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ind w:left="-143" w:firstLine="116"/>
              <w:jc w:val="right"/>
              <w:rPr>
                <w:color w:val="000000" w:themeColor="text1"/>
                <w:sz w:val="14"/>
                <w:szCs w:val="14"/>
                <w:lang w:val="en-US"/>
              </w:rPr>
            </w:pPr>
            <w:r w:rsidRPr="009C238A">
              <w:rPr>
                <w:color w:val="000000" w:themeColor="text1"/>
                <w:sz w:val="14"/>
                <w:szCs w:val="14"/>
                <w:lang w:val="en-US"/>
              </w:rPr>
              <w:t>Statu-</w:t>
            </w:r>
          </w:p>
          <w:p w:rsidR="009072DB" w:rsidRPr="009C238A" w:rsidRDefault="009072DB" w:rsidP="009072DB">
            <w:pPr>
              <w:jc w:val="right"/>
              <w:rPr>
                <w:sz w:val="14"/>
                <w:szCs w:val="14"/>
                <w:lang w:val="en-US"/>
              </w:rPr>
            </w:pPr>
            <w:r w:rsidRPr="009C238A">
              <w:rPr>
                <w:color w:val="000000" w:themeColor="text1"/>
                <w:sz w:val="14"/>
                <w:szCs w:val="14"/>
                <w:lang w:val="en-US"/>
              </w:rPr>
              <w:t>tory reserve</w:t>
            </w:r>
          </w:p>
        </w:tc>
        <w:tc>
          <w:tcPr>
            <w:tcW w:w="34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Cumula-</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tive transla-</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tion</w:t>
            </w:r>
          </w:p>
          <w:p w:rsidR="009072DB" w:rsidRPr="009C238A" w:rsidRDefault="009072DB" w:rsidP="009072DB">
            <w:pPr>
              <w:jc w:val="right"/>
              <w:rPr>
                <w:sz w:val="14"/>
                <w:szCs w:val="14"/>
                <w:lang w:val="en-US"/>
              </w:rPr>
            </w:pPr>
            <w:r w:rsidRPr="009C238A">
              <w:rPr>
                <w:color w:val="000000" w:themeColor="text1"/>
                <w:sz w:val="14"/>
                <w:szCs w:val="14"/>
                <w:lang w:val="en-US"/>
              </w:rPr>
              <w:t>reserve</w:t>
            </w:r>
          </w:p>
        </w:tc>
        <w:tc>
          <w:tcPr>
            <w:tcW w:w="2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Stock</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 xml:space="preserve">Option </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Reser-</w:t>
            </w:r>
          </w:p>
          <w:p w:rsidR="009072DB" w:rsidRPr="009C238A" w:rsidRDefault="009072DB" w:rsidP="009072DB">
            <w:pPr>
              <w:jc w:val="right"/>
              <w:rPr>
                <w:sz w:val="14"/>
                <w:szCs w:val="14"/>
                <w:lang w:val="en-US"/>
              </w:rPr>
            </w:pPr>
            <w:r w:rsidRPr="009C238A">
              <w:rPr>
                <w:color w:val="000000" w:themeColor="text1"/>
                <w:sz w:val="14"/>
                <w:szCs w:val="14"/>
                <w:lang w:val="en-US"/>
              </w:rPr>
              <w:t>ve</w:t>
            </w:r>
          </w:p>
        </w:tc>
        <w:tc>
          <w:tcPr>
            <w:tcW w:w="2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Reser-</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ve for</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treasu-</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ry</w:t>
            </w:r>
          </w:p>
          <w:p w:rsidR="009072DB" w:rsidRPr="009C238A" w:rsidRDefault="009072DB" w:rsidP="009072DB">
            <w:pPr>
              <w:jc w:val="right"/>
              <w:rPr>
                <w:sz w:val="14"/>
                <w:szCs w:val="14"/>
                <w:lang w:val="en-US"/>
              </w:rPr>
            </w:pPr>
            <w:r w:rsidRPr="009C238A">
              <w:rPr>
                <w:color w:val="000000" w:themeColor="text1"/>
                <w:sz w:val="14"/>
                <w:szCs w:val="14"/>
                <w:lang w:val="en-US"/>
              </w:rPr>
              <w:t xml:space="preserve">stock  </w:t>
            </w:r>
          </w:p>
        </w:tc>
        <w:tc>
          <w:tcPr>
            <w:tcW w:w="2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sz w:val="14"/>
                <w:szCs w:val="14"/>
                <w:lang w:val="en-US"/>
              </w:rPr>
            </w:pPr>
            <w:r w:rsidRPr="009C238A">
              <w:rPr>
                <w:color w:val="000000" w:themeColor="text1"/>
                <w:sz w:val="14"/>
                <w:szCs w:val="14"/>
                <w:lang w:val="en-US"/>
              </w:rPr>
              <w:t>OCI Reserve</w:t>
            </w:r>
          </w:p>
        </w:tc>
        <w:tc>
          <w:tcPr>
            <w:tcW w:w="31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Retained</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earnings</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(Accu-</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mulated</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deficit)</w:t>
            </w:r>
          </w:p>
          <w:p w:rsidR="009072DB" w:rsidRPr="009C238A" w:rsidRDefault="009072DB" w:rsidP="009072DB">
            <w:pPr>
              <w:jc w:val="right"/>
              <w:rPr>
                <w:sz w:val="14"/>
                <w:szCs w:val="14"/>
                <w:lang w:val="en-US"/>
              </w:rPr>
            </w:pPr>
          </w:p>
        </w:tc>
        <w:tc>
          <w:tcPr>
            <w:tcW w:w="33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Treasury</w:t>
            </w:r>
          </w:p>
          <w:p w:rsidR="009072DB" w:rsidRPr="009C238A" w:rsidRDefault="009072DB" w:rsidP="009072DB">
            <w:pPr>
              <w:jc w:val="right"/>
              <w:rPr>
                <w:sz w:val="14"/>
                <w:szCs w:val="14"/>
                <w:lang w:val="en-US"/>
              </w:rPr>
            </w:pPr>
            <w:r w:rsidRPr="009C238A">
              <w:rPr>
                <w:color w:val="000000" w:themeColor="text1"/>
                <w:sz w:val="14"/>
                <w:szCs w:val="14"/>
                <w:lang w:val="en-US"/>
              </w:rPr>
              <w:t>stock</w:t>
            </w:r>
          </w:p>
        </w:tc>
        <w:tc>
          <w:tcPr>
            <w:tcW w:w="35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Net</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profit</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for the</w:t>
            </w:r>
          </w:p>
          <w:p w:rsidR="009072DB" w:rsidRPr="009C238A" w:rsidRDefault="009072DB" w:rsidP="009072DB">
            <w:pPr>
              <w:jc w:val="right"/>
              <w:rPr>
                <w:sz w:val="14"/>
                <w:szCs w:val="14"/>
                <w:lang w:val="en-US"/>
              </w:rPr>
            </w:pPr>
            <w:r w:rsidRPr="009C238A">
              <w:rPr>
                <w:color w:val="000000" w:themeColor="text1"/>
                <w:sz w:val="14"/>
                <w:szCs w:val="14"/>
                <w:lang w:val="en-US"/>
              </w:rPr>
              <w:t>period</w:t>
            </w:r>
          </w:p>
        </w:tc>
        <w:tc>
          <w:tcPr>
            <w:tcW w:w="35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Group</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interest</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in share-</w:t>
            </w:r>
          </w:p>
          <w:p w:rsidR="009072DB" w:rsidRPr="009C238A" w:rsidRDefault="009072DB" w:rsidP="009072DB">
            <w:pPr>
              <w:jc w:val="right"/>
              <w:rPr>
                <w:color w:val="000000" w:themeColor="text1"/>
                <w:sz w:val="14"/>
                <w:szCs w:val="14"/>
                <w:lang w:val="en-US"/>
              </w:rPr>
            </w:pPr>
            <w:r w:rsidRPr="009C238A">
              <w:rPr>
                <w:color w:val="000000" w:themeColor="text1"/>
                <w:sz w:val="14"/>
                <w:szCs w:val="14"/>
                <w:lang w:val="en-US"/>
              </w:rPr>
              <w:t>holders’</w:t>
            </w:r>
          </w:p>
          <w:p w:rsidR="009072DB" w:rsidRPr="009C238A" w:rsidRDefault="009072DB" w:rsidP="009072DB">
            <w:pPr>
              <w:jc w:val="right"/>
              <w:rPr>
                <w:sz w:val="14"/>
                <w:szCs w:val="14"/>
                <w:lang w:val="en-US"/>
              </w:rPr>
            </w:pPr>
            <w:r w:rsidRPr="009C238A">
              <w:rPr>
                <w:color w:val="000000" w:themeColor="text1"/>
                <w:sz w:val="14"/>
                <w:szCs w:val="14"/>
                <w:lang w:val="en-US"/>
              </w:rPr>
              <w:t>equity</w:t>
            </w:r>
          </w:p>
        </w:tc>
        <w:tc>
          <w:tcPr>
            <w:tcW w:w="2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ind w:left="-139" w:right="-106"/>
              <w:jc w:val="right"/>
              <w:rPr>
                <w:sz w:val="14"/>
                <w:szCs w:val="14"/>
                <w:lang w:val="en-US"/>
              </w:rPr>
            </w:pPr>
            <w:r w:rsidRPr="009C238A">
              <w:rPr>
                <w:color w:val="000000" w:themeColor="text1"/>
                <w:sz w:val="14"/>
                <w:szCs w:val="14"/>
                <w:lang w:val="en-US"/>
              </w:rPr>
              <w:t>Minority interest in equity</w:t>
            </w:r>
          </w:p>
        </w:tc>
        <w:tc>
          <w:tcPr>
            <w:tcW w:w="334"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sz w:val="14"/>
                <w:szCs w:val="14"/>
                <w:lang w:val="en-US"/>
              </w:rPr>
            </w:pPr>
            <w:r w:rsidRPr="009C238A">
              <w:rPr>
                <w:color w:val="000000" w:themeColor="text1"/>
                <w:sz w:val="14"/>
                <w:szCs w:val="14"/>
                <w:lang w:val="en-US"/>
              </w:rPr>
              <w:t>Total interest in shareholders’equity</w:t>
            </w:r>
          </w:p>
        </w:tc>
      </w:tr>
      <w:tr w:rsidR="009072DB" w:rsidRPr="009C238A" w:rsidTr="00EA42FF">
        <w:trPr>
          <w:trHeight w:val="255"/>
        </w:trPr>
        <w:tc>
          <w:tcPr>
            <w:tcW w:w="899" w:type="pct"/>
            <w:tcBorders>
              <w:top w:val="nil"/>
              <w:left w:val="nil"/>
              <w:bottom w:val="single" w:sz="4" w:space="0" w:color="auto"/>
              <w:right w:val="nil"/>
            </w:tcBorders>
            <w:shd w:val="clear" w:color="000000" w:fill="FFFFFF"/>
            <w:vAlign w:val="center"/>
            <w:hideMark/>
          </w:tcPr>
          <w:p w:rsidR="009072DB" w:rsidRPr="009C238A" w:rsidRDefault="009072DB" w:rsidP="009072DB">
            <w:pPr>
              <w:rPr>
                <w:b/>
                <w:bCs/>
                <w:sz w:val="14"/>
                <w:szCs w:val="14"/>
                <w:lang w:val="en-US"/>
              </w:rPr>
            </w:pPr>
            <w:r w:rsidRPr="009C238A">
              <w:rPr>
                <w:b/>
                <w:bCs/>
                <w:color w:val="000000" w:themeColor="text1"/>
                <w:sz w:val="14"/>
                <w:szCs w:val="14"/>
                <w:lang w:val="en-US"/>
              </w:rPr>
              <w:t>Shareholders’ equity at 12/31/2011(*)</w:t>
            </w:r>
          </w:p>
        </w:tc>
        <w:tc>
          <w:tcPr>
            <w:tcW w:w="305"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55,698</w:t>
            </w:r>
          </w:p>
        </w:tc>
        <w:tc>
          <w:tcPr>
            <w:tcW w:w="322"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13,744</w:t>
            </w:r>
          </w:p>
        </w:tc>
        <w:tc>
          <w:tcPr>
            <w:tcW w:w="311"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8,016</w:t>
            </w:r>
          </w:p>
        </w:tc>
        <w:tc>
          <w:tcPr>
            <w:tcW w:w="346"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8,137</w:t>
            </w:r>
          </w:p>
        </w:tc>
        <w:tc>
          <w:tcPr>
            <w:tcW w:w="282"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2,337</w:t>
            </w:r>
          </w:p>
        </w:tc>
        <w:tc>
          <w:tcPr>
            <w:tcW w:w="281"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44,882</w:t>
            </w:r>
          </w:p>
        </w:tc>
        <w:tc>
          <w:tcPr>
            <w:tcW w:w="281"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(1,673)</w:t>
            </w:r>
          </w:p>
        </w:tc>
        <w:tc>
          <w:tcPr>
            <w:tcW w:w="315"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163,570</w:t>
            </w:r>
          </w:p>
        </w:tc>
        <w:tc>
          <w:tcPr>
            <w:tcW w:w="331"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(44,882)</w:t>
            </w:r>
          </w:p>
        </w:tc>
        <w:tc>
          <w:tcPr>
            <w:tcW w:w="356"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99,465</w:t>
            </w:r>
          </w:p>
        </w:tc>
        <w:tc>
          <w:tcPr>
            <w:tcW w:w="356"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349,294</w:t>
            </w:r>
          </w:p>
        </w:tc>
        <w:tc>
          <w:tcPr>
            <w:tcW w:w="282"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211</w:t>
            </w:r>
          </w:p>
        </w:tc>
        <w:tc>
          <w:tcPr>
            <w:tcW w:w="334"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349,505</w:t>
            </w:r>
          </w:p>
        </w:tc>
      </w:tr>
      <w:tr w:rsidR="009072DB" w:rsidRPr="009C238A" w:rsidTr="00EA42FF">
        <w:trPr>
          <w:trHeight w:val="255"/>
        </w:trPr>
        <w:tc>
          <w:tcPr>
            <w:tcW w:w="899"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05"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22"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11"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46"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282"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281"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15"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31"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56"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56"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282"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c>
          <w:tcPr>
            <w:tcW w:w="334"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sz w:val="14"/>
                <w:szCs w:val="14"/>
                <w:lang w:val="en-US"/>
              </w:rPr>
              <w:t> </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Appropriation of previous year’s profit</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3,152</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96,313</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(99,465)</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Dividends distribution</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(24,971)</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(24,971)</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(24,971)</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Capital increase</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157</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2,059</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2,216</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2,216</w:t>
            </w:r>
          </w:p>
        </w:tc>
      </w:tr>
      <w:tr w:rsidR="009072DB" w:rsidRPr="009C238A" w:rsidTr="00EA42FF">
        <w:trPr>
          <w:trHeight w:val="255"/>
        </w:trPr>
        <w:tc>
          <w:tcPr>
            <w:tcW w:w="899"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color w:val="000000" w:themeColor="text1"/>
                <w:sz w:val="14"/>
                <w:szCs w:val="14"/>
                <w:lang w:val="en-US"/>
              </w:rPr>
              <w:t>Stock options and other changes</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772</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540</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1,312</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1,312</w:t>
            </w:r>
          </w:p>
        </w:tc>
      </w:tr>
      <w:tr w:rsidR="009072DB" w:rsidRPr="009C238A" w:rsidTr="00EA42FF">
        <w:trPr>
          <w:trHeight w:val="255"/>
        </w:trPr>
        <w:tc>
          <w:tcPr>
            <w:tcW w:w="899"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color w:val="000000" w:themeColor="text1"/>
                <w:sz w:val="14"/>
                <w:szCs w:val="14"/>
                <w:lang w:val="en-US"/>
              </w:rPr>
              <w:t>Translation adjustment</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(2,247)</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(2,247)</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(2,247)</w:t>
            </w:r>
          </w:p>
        </w:tc>
      </w:tr>
      <w:tr w:rsidR="009072DB" w:rsidRPr="009C238A" w:rsidTr="00EA42FF">
        <w:trPr>
          <w:trHeight w:val="255"/>
        </w:trPr>
        <w:tc>
          <w:tcPr>
            <w:tcW w:w="899" w:type="pct"/>
            <w:tcBorders>
              <w:top w:val="nil"/>
              <w:left w:val="nil"/>
              <w:bottom w:val="nil"/>
              <w:right w:val="nil"/>
            </w:tcBorders>
            <w:shd w:val="clear" w:color="000000" w:fill="FFFFFF"/>
            <w:noWrap/>
            <w:vAlign w:val="center"/>
            <w:hideMark/>
          </w:tcPr>
          <w:p w:rsidR="009072DB" w:rsidRPr="009C238A" w:rsidRDefault="009072DB" w:rsidP="009072DB">
            <w:pPr>
              <w:rPr>
                <w:sz w:val="14"/>
                <w:szCs w:val="14"/>
                <w:lang w:val="en-US"/>
              </w:rPr>
            </w:pPr>
            <w:r w:rsidRPr="009C238A">
              <w:rPr>
                <w:color w:val="000000" w:themeColor="text1"/>
                <w:sz w:val="14"/>
                <w:szCs w:val="14"/>
                <w:lang w:val="en-US"/>
              </w:rPr>
              <w:t>Actuarial gains/losses on employee benefits recognized directly in other comprehensive income</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(1,054)</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(1,054)</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(1,054)</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Net investment hedge gains/(losses), net of tax effect</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252</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252</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252</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Net profit for the period</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66,660</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66,660</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295</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66,955</w:t>
            </w:r>
          </w:p>
        </w:tc>
      </w:tr>
      <w:tr w:rsidR="009072DB" w:rsidRPr="009C238A" w:rsidTr="00EA42FF">
        <w:trPr>
          <w:trHeight w:val="255"/>
        </w:trPr>
        <w:tc>
          <w:tcPr>
            <w:tcW w:w="899"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rPr>
                <w:b/>
                <w:bCs/>
                <w:sz w:val="14"/>
                <w:szCs w:val="14"/>
                <w:lang w:val="en-US"/>
              </w:rPr>
            </w:pPr>
            <w:r w:rsidRPr="009C238A">
              <w:rPr>
                <w:b/>
                <w:bCs/>
                <w:color w:val="000000" w:themeColor="text1"/>
                <w:sz w:val="14"/>
                <w:szCs w:val="14"/>
                <w:lang w:val="en-US"/>
              </w:rPr>
              <w:t>Shareholders’ equity at 9/30/2012(*)</w:t>
            </w:r>
          </w:p>
        </w:tc>
        <w:tc>
          <w:tcPr>
            <w:tcW w:w="30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55,855</w:t>
            </w:r>
          </w:p>
        </w:tc>
        <w:tc>
          <w:tcPr>
            <w:tcW w:w="32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15,803</w:t>
            </w:r>
          </w:p>
        </w:tc>
        <w:tc>
          <w:tcPr>
            <w:tcW w:w="31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11,168</w:t>
            </w:r>
          </w:p>
        </w:tc>
        <w:tc>
          <w:tcPr>
            <w:tcW w:w="34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6,142</w:t>
            </w:r>
          </w:p>
        </w:tc>
        <w:tc>
          <w:tcPr>
            <w:tcW w:w="2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3,109</w:t>
            </w:r>
          </w:p>
        </w:tc>
        <w:tc>
          <w:tcPr>
            <w:tcW w:w="2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44,882</w:t>
            </w:r>
          </w:p>
        </w:tc>
        <w:tc>
          <w:tcPr>
            <w:tcW w:w="2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(2,727)</w:t>
            </w:r>
          </w:p>
        </w:tc>
        <w:tc>
          <w:tcPr>
            <w:tcW w:w="31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235,452</w:t>
            </w:r>
          </w:p>
        </w:tc>
        <w:tc>
          <w:tcPr>
            <w:tcW w:w="33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(44,882)</w:t>
            </w:r>
          </w:p>
        </w:tc>
        <w:tc>
          <w:tcPr>
            <w:tcW w:w="35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66,660</w:t>
            </w:r>
          </w:p>
        </w:tc>
        <w:tc>
          <w:tcPr>
            <w:tcW w:w="35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391,462</w:t>
            </w:r>
          </w:p>
        </w:tc>
        <w:tc>
          <w:tcPr>
            <w:tcW w:w="2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506</w:t>
            </w:r>
          </w:p>
        </w:tc>
        <w:tc>
          <w:tcPr>
            <w:tcW w:w="334"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391,968</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sz w:val="14"/>
                <w:szCs w:val="14"/>
                <w:lang w:val="en-US"/>
              </w:rPr>
              <w:t> </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 </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r>
      <w:tr w:rsidR="009072DB" w:rsidRPr="009C238A" w:rsidTr="00EA42FF">
        <w:trPr>
          <w:trHeight w:val="255"/>
        </w:trPr>
        <w:tc>
          <w:tcPr>
            <w:tcW w:w="899"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rPr>
                <w:b/>
                <w:bCs/>
                <w:sz w:val="14"/>
                <w:szCs w:val="14"/>
                <w:lang w:val="en-US"/>
              </w:rPr>
            </w:pPr>
            <w:r w:rsidRPr="009C238A">
              <w:rPr>
                <w:b/>
                <w:bCs/>
                <w:color w:val="000000" w:themeColor="text1"/>
                <w:sz w:val="14"/>
                <w:szCs w:val="14"/>
                <w:lang w:val="en-US"/>
              </w:rPr>
              <w:t>Shareholders’ equity at 12/31/2012</w:t>
            </w:r>
          </w:p>
        </w:tc>
        <w:tc>
          <w:tcPr>
            <w:tcW w:w="30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55,863</w:t>
            </w:r>
          </w:p>
        </w:tc>
        <w:tc>
          <w:tcPr>
            <w:tcW w:w="32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15,967</w:t>
            </w:r>
          </w:p>
        </w:tc>
        <w:tc>
          <w:tcPr>
            <w:tcW w:w="31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11,168</w:t>
            </w:r>
          </w:p>
        </w:tc>
        <w:tc>
          <w:tcPr>
            <w:tcW w:w="34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3,463</w:t>
            </w:r>
          </w:p>
        </w:tc>
        <w:tc>
          <w:tcPr>
            <w:tcW w:w="2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3,336</w:t>
            </w:r>
          </w:p>
        </w:tc>
        <w:tc>
          <w:tcPr>
            <w:tcW w:w="2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44,882</w:t>
            </w:r>
          </w:p>
        </w:tc>
        <w:tc>
          <w:tcPr>
            <w:tcW w:w="2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(3,079)</w:t>
            </w:r>
          </w:p>
        </w:tc>
        <w:tc>
          <w:tcPr>
            <w:tcW w:w="31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190,394</w:t>
            </w:r>
          </w:p>
        </w:tc>
        <w:tc>
          <w:tcPr>
            <w:tcW w:w="33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(44,882)</w:t>
            </w:r>
          </w:p>
        </w:tc>
        <w:tc>
          <w:tcPr>
            <w:tcW w:w="35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87,396</w:t>
            </w:r>
          </w:p>
        </w:tc>
        <w:tc>
          <w:tcPr>
            <w:tcW w:w="35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364,508</w:t>
            </w:r>
          </w:p>
        </w:tc>
        <w:tc>
          <w:tcPr>
            <w:tcW w:w="2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494</w:t>
            </w:r>
          </w:p>
        </w:tc>
        <w:tc>
          <w:tcPr>
            <w:tcW w:w="334"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365,002</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b/>
                <w:bCs/>
                <w:sz w:val="14"/>
                <w:szCs w:val="14"/>
                <w:lang w:val="en-US"/>
              </w:rPr>
            </w:pPr>
            <w:r w:rsidRPr="009C238A">
              <w:rPr>
                <w:b/>
                <w:bCs/>
                <w:sz w:val="14"/>
                <w:szCs w:val="14"/>
                <w:lang w:val="en-US"/>
              </w:rPr>
              <w:t> </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Appropriation of previous year’s profit</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13</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87,383</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(87,396)</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Dividends distribution</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(27,177)</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(27,177)</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(27,177)</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Capital increase</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45</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1,040</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1,085</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1,085</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Stock options and other changes</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839</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268</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1,107</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1,107</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Translation adjustment</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(5,775)</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(5,775)</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(8)</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(5,783)</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Actuarial gains/losses on employee benefits recognized directly in other comprehensive income</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(4)</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Net investment hedge gains/(losses), net of tax effect</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308</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308</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 </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308</w:t>
            </w:r>
          </w:p>
        </w:tc>
      </w:tr>
      <w:tr w:rsidR="009072DB" w:rsidRPr="009C238A" w:rsidTr="00EA42FF">
        <w:trPr>
          <w:trHeight w:val="255"/>
        </w:trPr>
        <w:tc>
          <w:tcPr>
            <w:tcW w:w="899" w:type="pct"/>
            <w:tcBorders>
              <w:top w:val="nil"/>
              <w:left w:val="nil"/>
              <w:bottom w:val="nil"/>
              <w:right w:val="nil"/>
            </w:tcBorders>
            <w:shd w:val="clear" w:color="000000" w:fill="FFFFFF"/>
            <w:vAlign w:val="center"/>
            <w:hideMark/>
          </w:tcPr>
          <w:p w:rsidR="009072DB" w:rsidRPr="009C238A" w:rsidRDefault="009072DB" w:rsidP="009072DB">
            <w:pPr>
              <w:rPr>
                <w:sz w:val="14"/>
                <w:szCs w:val="14"/>
                <w:lang w:val="en-US"/>
              </w:rPr>
            </w:pPr>
            <w:r w:rsidRPr="009C238A">
              <w:rPr>
                <w:color w:val="000000" w:themeColor="text1"/>
                <w:sz w:val="14"/>
                <w:szCs w:val="14"/>
                <w:lang w:val="en-US"/>
              </w:rPr>
              <w:t>Net profit for the period</w:t>
            </w:r>
          </w:p>
        </w:tc>
        <w:tc>
          <w:tcPr>
            <w:tcW w:w="30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2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4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28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15"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31"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sz w:val="14"/>
                <w:szCs w:val="14"/>
                <w:lang w:val="en-US"/>
              </w:rPr>
            </w:pPr>
            <w:r w:rsidRPr="009C238A">
              <w:rPr>
                <w:sz w:val="14"/>
                <w:szCs w:val="14"/>
                <w:lang w:val="en-US"/>
              </w:rPr>
              <w:t>60,767</w:t>
            </w:r>
          </w:p>
        </w:tc>
        <w:tc>
          <w:tcPr>
            <w:tcW w:w="356"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60,767</w:t>
            </w:r>
          </w:p>
        </w:tc>
        <w:tc>
          <w:tcPr>
            <w:tcW w:w="282"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288</w:t>
            </w:r>
          </w:p>
        </w:tc>
        <w:tc>
          <w:tcPr>
            <w:tcW w:w="334" w:type="pct"/>
            <w:tcBorders>
              <w:top w:val="nil"/>
              <w:left w:val="nil"/>
              <w:bottom w:val="nil"/>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61,055</w:t>
            </w:r>
          </w:p>
        </w:tc>
      </w:tr>
      <w:tr w:rsidR="009072DB" w:rsidRPr="009C238A" w:rsidTr="00EA42FF">
        <w:trPr>
          <w:trHeight w:val="255"/>
        </w:trPr>
        <w:tc>
          <w:tcPr>
            <w:tcW w:w="899"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rPr>
                <w:b/>
                <w:bCs/>
                <w:sz w:val="14"/>
                <w:szCs w:val="14"/>
                <w:lang w:val="en-US"/>
              </w:rPr>
            </w:pPr>
            <w:r w:rsidRPr="009C238A">
              <w:rPr>
                <w:b/>
                <w:bCs/>
                <w:color w:val="000000" w:themeColor="text1"/>
                <w:sz w:val="14"/>
                <w:szCs w:val="14"/>
                <w:lang w:val="en-US"/>
              </w:rPr>
              <w:t>Shareholders’ equity at 9/30/2013</w:t>
            </w:r>
          </w:p>
        </w:tc>
        <w:tc>
          <w:tcPr>
            <w:tcW w:w="30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55,908</w:t>
            </w:r>
          </w:p>
        </w:tc>
        <w:tc>
          <w:tcPr>
            <w:tcW w:w="32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17,007</w:t>
            </w:r>
          </w:p>
        </w:tc>
        <w:tc>
          <w:tcPr>
            <w:tcW w:w="31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11,181</w:t>
            </w:r>
          </w:p>
        </w:tc>
        <w:tc>
          <w:tcPr>
            <w:tcW w:w="34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(2,004)</w:t>
            </w:r>
          </w:p>
        </w:tc>
        <w:tc>
          <w:tcPr>
            <w:tcW w:w="2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4,175</w:t>
            </w:r>
          </w:p>
        </w:tc>
        <w:tc>
          <w:tcPr>
            <w:tcW w:w="2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44,882</w:t>
            </w:r>
          </w:p>
        </w:tc>
        <w:tc>
          <w:tcPr>
            <w:tcW w:w="2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(3,083)</w:t>
            </w:r>
          </w:p>
        </w:tc>
        <w:tc>
          <w:tcPr>
            <w:tcW w:w="31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250,868</w:t>
            </w:r>
          </w:p>
        </w:tc>
        <w:tc>
          <w:tcPr>
            <w:tcW w:w="33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(44,882)</w:t>
            </w:r>
          </w:p>
        </w:tc>
        <w:tc>
          <w:tcPr>
            <w:tcW w:w="35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60,767</w:t>
            </w:r>
          </w:p>
        </w:tc>
        <w:tc>
          <w:tcPr>
            <w:tcW w:w="356"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394,819</w:t>
            </w:r>
          </w:p>
        </w:tc>
        <w:tc>
          <w:tcPr>
            <w:tcW w:w="2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774</w:t>
            </w:r>
          </w:p>
        </w:tc>
        <w:tc>
          <w:tcPr>
            <w:tcW w:w="334"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14"/>
                <w:szCs w:val="14"/>
                <w:lang w:val="en-US"/>
              </w:rPr>
            </w:pPr>
            <w:r w:rsidRPr="009C238A">
              <w:rPr>
                <w:b/>
                <w:bCs/>
                <w:sz w:val="14"/>
                <w:szCs w:val="14"/>
                <w:lang w:val="en-US"/>
              </w:rPr>
              <w:t>395,593</w:t>
            </w:r>
          </w:p>
        </w:tc>
      </w:tr>
    </w:tbl>
    <w:p w:rsidR="009072DB" w:rsidRPr="009C238A" w:rsidRDefault="009072DB" w:rsidP="009072DB">
      <w:pPr>
        <w:rPr>
          <w:highlight w:val="yellow"/>
          <w:lang w:val="en-US"/>
        </w:rPr>
      </w:pPr>
    </w:p>
    <w:p w:rsidR="009072DB" w:rsidRPr="009C238A" w:rsidRDefault="009072DB" w:rsidP="009072DB">
      <w:pPr>
        <w:rPr>
          <w:lang w:val="en-US"/>
        </w:rPr>
      </w:pPr>
    </w:p>
    <w:p w:rsidR="009072DB" w:rsidRPr="009C238A" w:rsidRDefault="009072DB" w:rsidP="009072DB">
      <w:pPr>
        <w:autoSpaceDE w:val="0"/>
        <w:autoSpaceDN w:val="0"/>
        <w:adjustRightInd w:val="0"/>
        <w:jc w:val="both"/>
        <w:rPr>
          <w:color w:val="000000" w:themeColor="text1"/>
          <w:sz w:val="14"/>
          <w:szCs w:val="14"/>
          <w:lang w:val="en-US"/>
        </w:rPr>
      </w:pPr>
      <w:r w:rsidRPr="009C238A">
        <w:rPr>
          <w:color w:val="000000"/>
          <w:sz w:val="16"/>
          <w:szCs w:val="16"/>
          <w:lang w:val="en-US" w:eastAsia="en-US"/>
        </w:rPr>
        <w:t>(*)</w:t>
      </w:r>
      <w:r w:rsidRPr="009C238A">
        <w:rPr>
          <w:color w:val="000000" w:themeColor="text1"/>
          <w:sz w:val="18"/>
          <w:szCs w:val="18"/>
          <w:lang w:val="en-US"/>
        </w:rPr>
        <w:t>Following the retrospective application of the amendment to IAS 19 from January 1, 2013 the comparative figures at January 1 and December 31, 2012 have been restated as required by IAS 1. More specifically, the figure for closing Shareholders’ equity has decreased by 3,079 thousand euros, relating to closing Shareholders’ equity attributable to owners of the Group Parents company. See section “New accounting principles” of the Report on operations for additional information.</w:t>
      </w:r>
    </w:p>
    <w:p w:rsidR="009072DB" w:rsidRPr="009C238A" w:rsidRDefault="009072DB" w:rsidP="009072DB">
      <w:pPr>
        <w:jc w:val="both"/>
        <w:rPr>
          <w:color w:val="000000" w:themeColor="text1"/>
          <w:sz w:val="20"/>
          <w:szCs w:val="20"/>
          <w:lang w:val="en-US"/>
        </w:rPr>
      </w:pPr>
      <w:r w:rsidRPr="009C238A">
        <w:rPr>
          <w:color w:val="000000" w:themeColor="text1"/>
          <w:sz w:val="16"/>
          <w:szCs w:val="16"/>
          <w:lang w:val="en-US" w:eastAsia="en-US"/>
        </w:rPr>
        <w:t xml:space="preserve"> </w:t>
      </w:r>
    </w:p>
    <w:p w:rsidR="009072DB" w:rsidRPr="009C238A" w:rsidRDefault="009072DB" w:rsidP="009072DB">
      <w:pPr>
        <w:jc w:val="both"/>
        <w:rPr>
          <w:lang w:val="en-US"/>
        </w:rPr>
      </w:pPr>
    </w:p>
    <w:p w:rsidR="00B758AF" w:rsidRDefault="00B758AF" w:rsidP="0095015B">
      <w:pPr>
        <w:pStyle w:val="Titolo1"/>
        <w:rPr>
          <w:smallCaps/>
        </w:rPr>
      </w:pPr>
      <w:bookmarkStart w:id="65" w:name="_Toc230421668"/>
    </w:p>
    <w:p w:rsidR="00B758AF" w:rsidRDefault="00B758AF" w:rsidP="0095015B">
      <w:pPr>
        <w:pStyle w:val="Titolo1"/>
        <w:rPr>
          <w:smallCaps/>
        </w:rPr>
      </w:pPr>
    </w:p>
    <w:p w:rsidR="00B758AF" w:rsidRDefault="00B758AF" w:rsidP="0095015B">
      <w:pPr>
        <w:pStyle w:val="Titolo1"/>
        <w:rPr>
          <w:smallCaps/>
        </w:rPr>
      </w:pPr>
    </w:p>
    <w:p w:rsidR="009072DB" w:rsidRPr="009C238A" w:rsidRDefault="009072DB" w:rsidP="0095015B">
      <w:pPr>
        <w:pStyle w:val="Titolo1"/>
      </w:pPr>
      <w:bookmarkStart w:id="66" w:name="_Toc245837759"/>
      <w:r w:rsidRPr="009C238A">
        <w:t>NOTES TO THE CONSOLIDATED QUARTERLY REPORT AT SEPTEMBER 30, 2013 AND SEPTEMBER 30, 2012</w:t>
      </w:r>
      <w:bookmarkEnd w:id="65"/>
      <w:bookmarkEnd w:id="66"/>
      <w:r w:rsidRPr="009C238A">
        <w:t xml:space="preserve"> </w:t>
      </w:r>
    </w:p>
    <w:p w:rsidR="009072DB" w:rsidRPr="009C238A" w:rsidRDefault="009072DB" w:rsidP="009072DB">
      <w:pPr>
        <w:pStyle w:val="Default"/>
        <w:jc w:val="both"/>
        <w:rPr>
          <w:rFonts w:eastAsia="Times New Roman"/>
          <w:b/>
          <w:bCs/>
          <w:color w:val="4F81BD" w:themeColor="accent1"/>
          <w:sz w:val="28"/>
          <w:szCs w:val="28"/>
          <w:lang w:val="en-US"/>
        </w:rPr>
      </w:pPr>
    </w:p>
    <w:p w:rsidR="009072DB" w:rsidRPr="009C238A" w:rsidRDefault="009072DB" w:rsidP="009072DB">
      <w:pPr>
        <w:widowControl w:val="0"/>
        <w:autoSpaceDE w:val="0"/>
        <w:autoSpaceDN w:val="0"/>
        <w:adjustRightInd w:val="0"/>
        <w:jc w:val="both"/>
        <w:rPr>
          <w:b/>
          <w:bCs/>
          <w:color w:val="000000"/>
          <w:lang w:val="en-US"/>
        </w:rPr>
      </w:pPr>
      <w:r w:rsidRPr="009C238A">
        <w:rPr>
          <w:b/>
          <w:bCs/>
          <w:color w:val="000000"/>
          <w:lang w:val="en-US"/>
        </w:rPr>
        <w:t>GENERAL INFORMATION AND SCOPE OF CONSOLIDATION</w:t>
      </w:r>
    </w:p>
    <w:p w:rsidR="009072DB" w:rsidRPr="009C238A" w:rsidRDefault="009072DB" w:rsidP="009072DB">
      <w:pPr>
        <w:widowControl w:val="0"/>
        <w:autoSpaceDE w:val="0"/>
        <w:autoSpaceDN w:val="0"/>
        <w:adjustRightInd w:val="0"/>
        <w:jc w:val="both"/>
        <w:rPr>
          <w:b/>
          <w:bCs/>
          <w:color w:val="000000"/>
          <w:lang w:val="en-US"/>
        </w:rPr>
      </w:pPr>
      <w:r w:rsidRPr="009C238A">
        <w:rPr>
          <w:b/>
          <w:bCs/>
          <w:color w:val="000000"/>
          <w:lang w:val="en-US"/>
        </w:rPr>
        <w:t xml:space="preserve"> </w:t>
      </w:r>
    </w:p>
    <w:p w:rsidR="009072DB" w:rsidRPr="009C238A" w:rsidRDefault="009072DB" w:rsidP="009072DB">
      <w:pPr>
        <w:widowControl w:val="0"/>
        <w:autoSpaceDE w:val="0"/>
        <w:autoSpaceDN w:val="0"/>
        <w:adjustRightInd w:val="0"/>
        <w:jc w:val="both"/>
        <w:rPr>
          <w:b/>
          <w:bCs/>
          <w:color w:val="000000"/>
          <w:lang w:val="en-US"/>
        </w:rPr>
      </w:pPr>
    </w:p>
    <w:p w:rsidR="009072DB" w:rsidRPr="009C238A" w:rsidRDefault="009072DB" w:rsidP="009072DB">
      <w:pPr>
        <w:jc w:val="both"/>
        <w:outlineLvl w:val="0"/>
        <w:rPr>
          <w:i/>
          <w:u w:val="single"/>
          <w:lang w:val="en-US"/>
        </w:rPr>
      </w:pPr>
      <w:r w:rsidRPr="009C238A">
        <w:rPr>
          <w:i/>
          <w:iCs/>
          <w:color w:val="000000"/>
          <w:u w:val="single"/>
          <w:lang w:val="en-US"/>
        </w:rPr>
        <w:t>General information</w:t>
      </w:r>
    </w:p>
    <w:p w:rsidR="009072DB" w:rsidRPr="009C238A" w:rsidRDefault="009072DB" w:rsidP="009072DB">
      <w:pPr>
        <w:autoSpaceDE w:val="0"/>
        <w:autoSpaceDN w:val="0"/>
        <w:adjustRightInd w:val="0"/>
        <w:jc w:val="both"/>
        <w:rPr>
          <w:lang w:val="en-US"/>
        </w:rPr>
      </w:pPr>
    </w:p>
    <w:p w:rsidR="009072DB" w:rsidRPr="009C238A" w:rsidRDefault="00F560BF" w:rsidP="009072DB">
      <w:pPr>
        <w:jc w:val="both"/>
        <w:rPr>
          <w:lang w:val="en-US"/>
        </w:rPr>
      </w:pPr>
      <w:r w:rsidRPr="009C238A">
        <w:rPr>
          <w:lang w:val="en-US"/>
        </w:rPr>
        <w:t>The Dias</w:t>
      </w:r>
      <w:r w:rsidR="009072DB" w:rsidRPr="009C238A">
        <w:rPr>
          <w:lang w:val="en-US"/>
        </w:rPr>
        <w:t>orin Group specializes in the development, manufacture and distribution of products in the immunochemistry and infectious immunology product groups. These product classes can also be grouped into a single famil</w:t>
      </w:r>
      <w:r w:rsidRPr="009C238A">
        <w:rPr>
          <w:lang w:val="en-US"/>
        </w:rPr>
        <w:t>y called immunodiagnostics. Dias</w:t>
      </w:r>
      <w:r w:rsidR="009072DB" w:rsidRPr="009C238A">
        <w:rPr>
          <w:lang w:val="en-US"/>
        </w:rPr>
        <w:t>orin S.p.A., the Group’s Parent Company, has its headquarters on Via Crescentino (no building number), in Saluggia (VC).</w:t>
      </w:r>
    </w:p>
    <w:p w:rsidR="009072DB" w:rsidRPr="009C238A" w:rsidRDefault="009072DB" w:rsidP="009072DB">
      <w:pPr>
        <w:jc w:val="both"/>
        <w:rPr>
          <w:lang w:val="en-US"/>
        </w:rPr>
      </w:pPr>
    </w:p>
    <w:p w:rsidR="009072DB" w:rsidRPr="009C238A" w:rsidRDefault="009072DB" w:rsidP="009072DB">
      <w:pPr>
        <w:jc w:val="both"/>
        <w:rPr>
          <w:lang w:val="en-US"/>
        </w:rPr>
      </w:pPr>
    </w:p>
    <w:p w:rsidR="009072DB" w:rsidRPr="009C238A" w:rsidRDefault="009072DB" w:rsidP="009072DB">
      <w:pPr>
        <w:tabs>
          <w:tab w:val="left" w:pos="567"/>
          <w:tab w:val="left" w:pos="1134"/>
          <w:tab w:val="left" w:pos="1702"/>
          <w:tab w:val="left" w:pos="2269"/>
          <w:tab w:val="left" w:pos="2835"/>
          <w:tab w:val="left" w:pos="3402"/>
          <w:tab w:val="left" w:pos="3969"/>
        </w:tabs>
        <w:jc w:val="both"/>
        <w:rPr>
          <w:i/>
          <w:iCs/>
          <w:u w:val="single"/>
          <w:lang w:val="en-US"/>
        </w:rPr>
      </w:pPr>
      <w:r w:rsidRPr="009C238A">
        <w:rPr>
          <w:i/>
          <w:iCs/>
          <w:u w:val="single"/>
          <w:lang w:val="en-US"/>
        </w:rPr>
        <w:t>Principles for the preparation of the interim report on operations</w:t>
      </w:r>
    </w:p>
    <w:p w:rsidR="009072DB" w:rsidRPr="009C238A" w:rsidRDefault="009072DB" w:rsidP="009072DB">
      <w:pPr>
        <w:tabs>
          <w:tab w:val="left" w:pos="567"/>
          <w:tab w:val="left" w:pos="1134"/>
          <w:tab w:val="left" w:pos="1702"/>
          <w:tab w:val="left" w:pos="2269"/>
          <w:tab w:val="left" w:pos="2835"/>
          <w:tab w:val="left" w:pos="3402"/>
          <w:tab w:val="left" w:pos="3969"/>
        </w:tabs>
        <w:jc w:val="both"/>
        <w:rPr>
          <w:lang w:val="en-US"/>
        </w:rPr>
      </w:pPr>
    </w:p>
    <w:p w:rsidR="009072DB" w:rsidRPr="009C238A" w:rsidRDefault="009072DB" w:rsidP="009072DB">
      <w:pPr>
        <w:widowControl w:val="0"/>
        <w:autoSpaceDE w:val="0"/>
        <w:autoSpaceDN w:val="0"/>
        <w:adjustRightInd w:val="0"/>
        <w:jc w:val="both"/>
        <w:rPr>
          <w:color w:val="000000"/>
          <w:lang w:val="en-US"/>
        </w:rPr>
      </w:pPr>
      <w:r w:rsidRPr="009C238A">
        <w:rPr>
          <w:color w:val="000000"/>
          <w:lang w:val="en-US"/>
        </w:rPr>
        <w:t xml:space="preserve">This quarterly report was prepared in compliance with the International Financial Reporting Standards (“IFRSs”), as issued by the International Accounting Standards Board (“IASB”) and adopted by the European Union. The designation IFRSs also includes the International Accounting Standards (“IASs”) that are still in effect and all of the interpretations of the International Financial Reporting Interpretations Committee (“IFRIC”). </w:t>
      </w:r>
    </w:p>
    <w:p w:rsidR="009072DB" w:rsidRPr="009C238A" w:rsidRDefault="009072DB" w:rsidP="009072DB">
      <w:pPr>
        <w:widowControl w:val="0"/>
        <w:autoSpaceDE w:val="0"/>
        <w:autoSpaceDN w:val="0"/>
        <w:adjustRightInd w:val="0"/>
        <w:jc w:val="both"/>
        <w:rPr>
          <w:color w:val="000000"/>
          <w:lang w:val="en-US"/>
        </w:rPr>
      </w:pPr>
    </w:p>
    <w:p w:rsidR="009072DB" w:rsidRPr="009C238A" w:rsidRDefault="009072DB" w:rsidP="009072DB">
      <w:pPr>
        <w:widowControl w:val="0"/>
        <w:autoSpaceDE w:val="0"/>
        <w:autoSpaceDN w:val="0"/>
        <w:adjustRightInd w:val="0"/>
        <w:jc w:val="both"/>
        <w:rPr>
          <w:color w:val="000000"/>
          <w:lang w:val="en-US"/>
        </w:rPr>
      </w:pPr>
      <w:r w:rsidRPr="009C238A">
        <w:rPr>
          <w:color w:val="000000"/>
          <w:lang w:val="en-US"/>
        </w:rPr>
        <w:t xml:space="preserve">This quarterly report was prepared in accordance with the requirements of the relevant international accounting standard (IAS 34 – Interim Financial Reporting). </w:t>
      </w:r>
    </w:p>
    <w:p w:rsidR="009072DB" w:rsidRPr="009C238A" w:rsidRDefault="009072DB" w:rsidP="009072DB">
      <w:pPr>
        <w:widowControl w:val="0"/>
        <w:autoSpaceDE w:val="0"/>
        <w:autoSpaceDN w:val="0"/>
        <w:adjustRightInd w:val="0"/>
        <w:jc w:val="both"/>
        <w:rPr>
          <w:color w:val="000000"/>
          <w:lang w:val="en-US"/>
        </w:rPr>
      </w:pPr>
      <w:r w:rsidRPr="009C238A">
        <w:rPr>
          <w:color w:val="000000"/>
          <w:lang w:val="en-US"/>
        </w:rPr>
        <w:t xml:space="preserve">These notes provide information in summary form, in order to avoid duplicating information published previously, as required by IAS 34. Specifically, these notes discuss only those components of the income statement and balance sheet the composition or change in amount of which require comment (due to the amount involved or the type of transaction or because an unusual transaction is involved) in order to understand the Group’s operating performance, financial performance and financial position. </w:t>
      </w:r>
    </w:p>
    <w:p w:rsidR="009072DB" w:rsidRPr="009C238A" w:rsidRDefault="009072DB" w:rsidP="009072DB">
      <w:pPr>
        <w:widowControl w:val="0"/>
        <w:autoSpaceDE w:val="0"/>
        <w:autoSpaceDN w:val="0"/>
        <w:adjustRightInd w:val="0"/>
        <w:jc w:val="both"/>
        <w:rPr>
          <w:color w:val="000000"/>
          <w:lang w:val="en-US"/>
        </w:rPr>
      </w:pPr>
    </w:p>
    <w:p w:rsidR="009072DB" w:rsidRPr="009C238A" w:rsidRDefault="009072DB" w:rsidP="009072DB">
      <w:pPr>
        <w:widowControl w:val="0"/>
        <w:autoSpaceDE w:val="0"/>
        <w:autoSpaceDN w:val="0"/>
        <w:adjustRightInd w:val="0"/>
        <w:jc w:val="both"/>
        <w:rPr>
          <w:color w:val="000000"/>
          <w:lang w:val="en-US"/>
        </w:rPr>
      </w:pPr>
      <w:r w:rsidRPr="009C238A">
        <w:rPr>
          <w:color w:val="000000"/>
          <w:lang w:val="en-US"/>
        </w:rPr>
        <w:t xml:space="preserve">When preparing interim financial reports, management is required to develop estimates and assumptions that affect the amounts shown for revenues, expenses, assets and liabilities in the financial statements and the disclosures provided with regard to contingent assets and liabilities on the date of the interim financial statements. If such estimates and assumptions, which were based on management’s best projections, should differ from actual events, they will be modified appropriately when the relevant events produce the abovementioned differences. </w:t>
      </w:r>
    </w:p>
    <w:p w:rsidR="009072DB" w:rsidRPr="009C238A" w:rsidRDefault="009072DB" w:rsidP="009072DB">
      <w:pPr>
        <w:widowControl w:val="0"/>
        <w:autoSpaceDE w:val="0"/>
        <w:autoSpaceDN w:val="0"/>
        <w:adjustRightInd w:val="0"/>
        <w:jc w:val="both"/>
        <w:rPr>
          <w:color w:val="000000"/>
          <w:lang w:val="en-US"/>
        </w:rPr>
      </w:pPr>
    </w:p>
    <w:p w:rsidR="009072DB" w:rsidRPr="009C238A" w:rsidRDefault="009072DB" w:rsidP="009072DB">
      <w:pPr>
        <w:jc w:val="both"/>
        <w:rPr>
          <w:color w:val="000000"/>
          <w:lang w:val="en-US"/>
        </w:rPr>
      </w:pPr>
      <w:r w:rsidRPr="009C238A">
        <w:rPr>
          <w:color w:val="000000"/>
          <w:lang w:val="en-US"/>
        </w:rPr>
        <w:t>As a rule, certain valuation processes, particularly the more complex processes such as determining whether the value of non-current assets has been impaired, are carried out fully only in connection with the preparation of the annual financial statements, when all the necessary information is available, except when there are impairment indicators that require an immediate evaluation of any impairment losses that may have occurred.</w:t>
      </w:r>
    </w:p>
    <w:p w:rsidR="009072DB" w:rsidRPr="009C238A" w:rsidRDefault="009072DB" w:rsidP="009072DB">
      <w:pPr>
        <w:jc w:val="both"/>
        <w:outlineLvl w:val="0"/>
        <w:rPr>
          <w:highlight w:val="yellow"/>
          <w:lang w:val="en-US"/>
        </w:rPr>
      </w:pPr>
    </w:p>
    <w:p w:rsidR="009072DB" w:rsidRPr="009C238A" w:rsidRDefault="009072DB" w:rsidP="009072DB">
      <w:pPr>
        <w:tabs>
          <w:tab w:val="left" w:pos="567"/>
          <w:tab w:val="left" w:pos="1134"/>
          <w:tab w:val="left" w:pos="1702"/>
          <w:tab w:val="left" w:pos="2269"/>
          <w:tab w:val="left" w:pos="2835"/>
          <w:tab w:val="left" w:pos="3402"/>
          <w:tab w:val="left" w:pos="3969"/>
        </w:tabs>
        <w:jc w:val="both"/>
        <w:rPr>
          <w:color w:val="000000" w:themeColor="text1"/>
          <w:lang w:val="en-US"/>
        </w:rPr>
      </w:pPr>
      <w:r w:rsidRPr="009C238A">
        <w:rPr>
          <w:color w:val="000000" w:themeColor="text1"/>
          <w:lang w:val="en-US"/>
        </w:rPr>
        <w:t>The income tax liability is recognized using the best estimate of the weighted average tax rate projected for the entire year.</w:t>
      </w:r>
    </w:p>
    <w:p w:rsidR="009072DB" w:rsidRPr="009C238A" w:rsidRDefault="009072DB" w:rsidP="009072DB">
      <w:pPr>
        <w:tabs>
          <w:tab w:val="left" w:pos="567"/>
          <w:tab w:val="left" w:pos="1134"/>
          <w:tab w:val="left" w:pos="1702"/>
          <w:tab w:val="left" w:pos="2269"/>
          <w:tab w:val="left" w:pos="2835"/>
          <w:tab w:val="left" w:pos="3402"/>
          <w:tab w:val="left" w:pos="3969"/>
        </w:tabs>
        <w:jc w:val="both"/>
        <w:rPr>
          <w:color w:val="000000" w:themeColor="text1"/>
          <w:lang w:val="en-US"/>
        </w:rPr>
      </w:pPr>
    </w:p>
    <w:p w:rsidR="009072DB" w:rsidRPr="009C238A" w:rsidRDefault="009072DB" w:rsidP="009072DB">
      <w:pPr>
        <w:jc w:val="both"/>
        <w:rPr>
          <w:color w:val="000000" w:themeColor="text1"/>
          <w:lang w:val="en-US"/>
        </w:rPr>
      </w:pPr>
      <w:r w:rsidRPr="009C238A">
        <w:rPr>
          <w:color w:val="000000" w:themeColor="text1"/>
          <w:lang w:val="en-US"/>
        </w:rPr>
        <w:t>In this consolidated quarterly report, all amounts are in thousands of euros unless otherwise stated.</w:t>
      </w:r>
    </w:p>
    <w:p w:rsidR="009072DB" w:rsidRPr="009C238A" w:rsidRDefault="009072DB" w:rsidP="009072DB">
      <w:pPr>
        <w:jc w:val="both"/>
        <w:rPr>
          <w:color w:val="000000" w:themeColor="text1"/>
          <w:lang w:val="en-US"/>
        </w:rPr>
      </w:pPr>
    </w:p>
    <w:p w:rsidR="009072DB" w:rsidRPr="009C238A" w:rsidRDefault="009072DB" w:rsidP="009072DB">
      <w:pPr>
        <w:tabs>
          <w:tab w:val="left" w:pos="567"/>
          <w:tab w:val="left" w:pos="1134"/>
          <w:tab w:val="left" w:pos="1702"/>
          <w:tab w:val="left" w:pos="2269"/>
          <w:tab w:val="left" w:pos="2835"/>
          <w:tab w:val="left" w:pos="3402"/>
          <w:tab w:val="left" w:pos="3969"/>
        </w:tabs>
        <w:jc w:val="both"/>
        <w:rPr>
          <w:color w:val="000000" w:themeColor="text1"/>
          <w:lang w:val="en-US"/>
        </w:rPr>
      </w:pPr>
      <w:r w:rsidRPr="009C238A">
        <w:rPr>
          <w:color w:val="000000" w:themeColor="text1"/>
          <w:lang w:val="en-US"/>
        </w:rPr>
        <w:t>This quarterly report was not audited.</w:t>
      </w:r>
    </w:p>
    <w:p w:rsidR="009072DB" w:rsidRPr="009C238A" w:rsidRDefault="009072DB" w:rsidP="009072DB">
      <w:pPr>
        <w:tabs>
          <w:tab w:val="left" w:pos="567"/>
          <w:tab w:val="left" w:pos="1134"/>
          <w:tab w:val="left" w:pos="1702"/>
          <w:tab w:val="left" w:pos="2269"/>
          <w:tab w:val="left" w:pos="2835"/>
          <w:tab w:val="left" w:pos="3402"/>
          <w:tab w:val="left" w:pos="3969"/>
        </w:tabs>
        <w:jc w:val="both"/>
        <w:rPr>
          <w:i/>
          <w:color w:val="000000" w:themeColor="text1"/>
          <w:u w:val="single"/>
          <w:lang w:val="en-US"/>
        </w:rPr>
      </w:pPr>
      <w:r w:rsidRPr="009C238A">
        <w:rPr>
          <w:i/>
          <w:color w:val="000000" w:themeColor="text1"/>
          <w:u w:val="single"/>
          <w:lang w:val="en-US"/>
        </w:rPr>
        <w:t>New accounting principles</w:t>
      </w:r>
    </w:p>
    <w:p w:rsidR="009072DB" w:rsidRPr="009C238A" w:rsidRDefault="009072DB" w:rsidP="009072DB">
      <w:pPr>
        <w:pStyle w:val="Titolo1"/>
        <w:rPr>
          <w:i/>
          <w:color w:val="000000" w:themeColor="text1"/>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On June 16, 2011, the IASB issued an amendment to IAS 1 – </w:t>
      </w:r>
      <w:r w:rsidRPr="009C238A">
        <w:rPr>
          <w:i/>
          <w:color w:val="000000" w:themeColor="text1"/>
          <w:lang w:val="en-US"/>
        </w:rPr>
        <w:t>Presentation of Financial Statements</w:t>
      </w:r>
      <w:r w:rsidRPr="009C238A">
        <w:rPr>
          <w:color w:val="000000" w:themeColor="text1"/>
          <w:lang w:val="en-US"/>
        </w:rPr>
        <w:t xml:space="preserve"> requiring companies to group items presented in comprehensive income on the basis of whether they are potentially reclassi</w:t>
      </w:r>
      <w:r w:rsidR="00EA42FF">
        <w:rPr>
          <w:color w:val="000000" w:themeColor="text1"/>
          <w:lang w:val="en-US"/>
        </w:rPr>
        <w:t>fied</w:t>
      </w:r>
      <w:r w:rsidRPr="009C238A">
        <w:rPr>
          <w:color w:val="000000" w:themeColor="text1"/>
          <w:lang w:val="en-US"/>
        </w:rPr>
        <w:t xml:space="preserve"> to profit or loss subsequently. The amendment is applicable for periods beginning on or after July 1, 2012; the Group has applied this amendment since January 1, 2013. The application of this amendment had no effect on the measurement of items and had a limited effect on the disclosures provided in this Report.</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On December 16, 2011, the IASB issued certain amendments to IFRS 7 – </w:t>
      </w:r>
      <w:r w:rsidRPr="009C238A">
        <w:rPr>
          <w:i/>
          <w:color w:val="000000" w:themeColor="text1"/>
          <w:lang w:val="en-US"/>
        </w:rPr>
        <w:t>Financial Instruments</w:t>
      </w:r>
      <w:r w:rsidRPr="009C238A">
        <w:rPr>
          <w:color w:val="000000" w:themeColor="text1"/>
          <w:lang w:val="en-US"/>
        </w:rPr>
        <w:t>: Disclosures. The amendments require information about the effect or potential effect of netting arrangements for financial assets and liabilities on an entity’s financial position. The amendments are applicable for periods beginning on or after January 1, 2013 and subsequent interim reporting periods. Applying these amendments has not had effects on the disclosures presented in this Report.</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On May 12, 2011, the IASB issued IFRS 13 – </w:t>
      </w:r>
      <w:r w:rsidRPr="009C238A">
        <w:rPr>
          <w:i/>
          <w:color w:val="000000" w:themeColor="text1"/>
          <w:lang w:val="en-US"/>
        </w:rPr>
        <w:t>Fair Value Measurement</w:t>
      </w:r>
      <w:r w:rsidRPr="009C238A">
        <w:rPr>
          <w:color w:val="000000" w:themeColor="text1"/>
          <w:lang w:val="en-US"/>
        </w:rPr>
        <w:t>, which clarifies the determination of fair value for the purpose of the financial statements and is applicable to all IFRSs permitting or requiring a fair value measurement or the presentation of disclosures based on fair value. The Group has prospectively applied this standard from January 1, 2013. The application of this standard did not have any effect on the measurement of items in this Report.</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autoSpaceDE w:val="0"/>
        <w:autoSpaceDN w:val="0"/>
        <w:adjustRightInd w:val="0"/>
        <w:jc w:val="both"/>
        <w:rPr>
          <w:bCs/>
          <w:color w:val="000000" w:themeColor="text1"/>
          <w:lang w:val="en-US"/>
        </w:rPr>
      </w:pPr>
      <w:r w:rsidRPr="009C238A">
        <w:rPr>
          <w:bCs/>
          <w:color w:val="000000" w:themeColor="text1"/>
          <w:lang w:val="en-US"/>
        </w:rPr>
        <w:t>On June 16, 2011, the IASB issued an amendment</w:t>
      </w:r>
      <w:r w:rsidRPr="009C238A">
        <w:rPr>
          <w:color w:val="000000" w:themeColor="text1"/>
          <w:lang w:val="en-US"/>
        </w:rPr>
        <w:t xml:space="preserve"> to IAS 19 – </w:t>
      </w:r>
      <w:r w:rsidRPr="009C238A">
        <w:rPr>
          <w:i/>
          <w:iCs/>
          <w:color w:val="000000" w:themeColor="text1"/>
          <w:lang w:val="en-US"/>
        </w:rPr>
        <w:t>Employee Benefits</w:t>
      </w:r>
      <w:r w:rsidRPr="009C238A">
        <w:rPr>
          <w:bCs/>
          <w:i/>
          <w:color w:val="000000" w:themeColor="text1"/>
          <w:lang w:val="en-US"/>
        </w:rPr>
        <w:t>,</w:t>
      </w:r>
      <w:r w:rsidRPr="009C238A">
        <w:rPr>
          <w:bCs/>
          <w:color w:val="000000" w:themeColor="text1"/>
          <w:lang w:val="en-US"/>
        </w:rPr>
        <w:t xml:space="preserve"> which eliminates the option of deferring the recognition of actuarial gains or losses by the corridor method, requiring instead the presentation in the statement of financial position of the full amount of any deficit or surplus in the provision, the separate recognition in the income statement of cost components related to employee service and net financial expense, and the recognition of actuarial gains or losses resulting from the annual remeasurement of assets and liabilities as other comprehensive income/ (loss). In addition, the return on assets included in net financial expense must be computed based on the discount rate applied to liabilities and no longer on the assets’ expected rate of return. Lastly, the amendment introduces new additional disclosures to be provided in the notes to the financial statements. In accordance with the transition rules in IAS 19, paragraph 173, the Parent Company applied this amendment retrospectively as of the reporting period beginning on January 1, 2013, by adjusting the values ​​of openness of financial position at January 1, 2012 and at December 31, 2012 and the comprehensive income statement of 2012 as if the amendments to IAS 19 had always been applied. In detail, the Group determined the final effects </w:t>
      </w:r>
      <w:r w:rsidRPr="009C238A">
        <w:rPr>
          <w:color w:val="000000" w:themeColor="text1"/>
          <w:lang w:val="en-US"/>
        </w:rPr>
        <w:t>due to the adoption of the amendment, as follows:</w:t>
      </w:r>
    </w:p>
    <w:p w:rsidR="009072DB" w:rsidRPr="009C238A" w:rsidRDefault="009072DB" w:rsidP="009072DB">
      <w:pPr>
        <w:rPr>
          <w:lang w:val="en-US"/>
        </w:rPr>
      </w:pPr>
      <w:r w:rsidRPr="009C238A">
        <w:rPr>
          <w:lang w:val="en-US"/>
        </w:rPr>
        <w:br w:type="page"/>
      </w:r>
    </w:p>
    <w:tbl>
      <w:tblPr>
        <w:tblW w:w="5000" w:type="pct"/>
        <w:tblCellMar>
          <w:left w:w="70" w:type="dxa"/>
          <w:right w:w="70" w:type="dxa"/>
        </w:tblCellMar>
        <w:tblLook w:val="04A0"/>
      </w:tblPr>
      <w:tblGrid>
        <w:gridCol w:w="5928"/>
        <w:gridCol w:w="1044"/>
        <w:gridCol w:w="1044"/>
        <w:gridCol w:w="1763"/>
      </w:tblGrid>
      <w:tr w:rsidR="009072DB" w:rsidRPr="009C238A" w:rsidTr="009072DB">
        <w:trPr>
          <w:trHeight w:val="255"/>
        </w:trPr>
        <w:tc>
          <w:tcPr>
            <w:tcW w:w="2591"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77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77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857"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At January 1, 2012</w:t>
            </w:r>
          </w:p>
        </w:tc>
      </w:tr>
      <w:tr w:rsidR="009072DB" w:rsidRPr="009C238A" w:rsidTr="009072DB">
        <w:trPr>
          <w:trHeight w:val="255"/>
        </w:trPr>
        <w:tc>
          <w:tcPr>
            <w:tcW w:w="2591"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77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77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857"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r>
      <w:tr w:rsidR="009072DB" w:rsidRPr="009C238A" w:rsidTr="009072DB">
        <w:trPr>
          <w:trHeight w:val="1020"/>
        </w:trPr>
        <w:tc>
          <w:tcPr>
            <w:tcW w:w="259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77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Amounts as previously reported</w:t>
            </w:r>
          </w:p>
        </w:tc>
        <w:tc>
          <w:tcPr>
            <w:tcW w:w="77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IAS 19 revised adoption effect</w:t>
            </w:r>
          </w:p>
        </w:tc>
        <w:tc>
          <w:tcPr>
            <w:tcW w:w="85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Amounts as restated</w:t>
            </w:r>
          </w:p>
        </w:tc>
      </w:tr>
      <w:tr w:rsidR="009072DB" w:rsidRPr="00923B29" w:rsidTr="009072DB">
        <w:trPr>
          <w:trHeight w:val="255"/>
        </w:trPr>
        <w:tc>
          <w:tcPr>
            <w:tcW w:w="2591" w:type="pct"/>
            <w:tcBorders>
              <w:top w:val="nil"/>
              <w:left w:val="nil"/>
              <w:bottom w:val="nil"/>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Effects on the statement of financial position:</w:t>
            </w:r>
          </w:p>
        </w:tc>
        <w:tc>
          <w:tcPr>
            <w:tcW w:w="77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 </w:t>
            </w:r>
          </w:p>
        </w:tc>
        <w:tc>
          <w:tcPr>
            <w:tcW w:w="77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 </w:t>
            </w:r>
          </w:p>
        </w:tc>
        <w:tc>
          <w:tcPr>
            <w:tcW w:w="857"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 </w:t>
            </w:r>
          </w:p>
        </w:tc>
      </w:tr>
      <w:tr w:rsidR="009072DB" w:rsidRPr="009C238A" w:rsidTr="009072DB">
        <w:trPr>
          <w:trHeight w:val="255"/>
        </w:trPr>
        <w:tc>
          <w:tcPr>
            <w:tcW w:w="2591"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Deferred-tax assets</w:t>
            </w:r>
          </w:p>
        </w:tc>
        <w:tc>
          <w:tcPr>
            <w:tcW w:w="77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20,119</w:t>
            </w:r>
          </w:p>
        </w:tc>
        <w:tc>
          <w:tcPr>
            <w:tcW w:w="77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544</w:t>
            </w:r>
          </w:p>
        </w:tc>
        <w:tc>
          <w:tcPr>
            <w:tcW w:w="8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20,663</w:t>
            </w:r>
          </w:p>
        </w:tc>
      </w:tr>
      <w:tr w:rsidR="009072DB" w:rsidRPr="009C238A" w:rsidTr="009072DB">
        <w:trPr>
          <w:trHeight w:val="255"/>
        </w:trPr>
        <w:tc>
          <w:tcPr>
            <w:tcW w:w="2591"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Provisions for employee severance indemnities and </w:t>
            </w:r>
            <w:r w:rsidRPr="009C238A">
              <w:rPr>
                <w:color w:val="000000" w:themeColor="text1"/>
                <w:sz w:val="20"/>
                <w:szCs w:val="20"/>
                <w:lang w:val="en-US"/>
              </w:rPr>
              <w:br/>
              <w:t>other employee benefits</w:t>
            </w:r>
          </w:p>
        </w:tc>
        <w:tc>
          <w:tcPr>
            <w:tcW w:w="77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20,948</w:t>
            </w:r>
          </w:p>
        </w:tc>
        <w:tc>
          <w:tcPr>
            <w:tcW w:w="77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2.217</w:t>
            </w:r>
          </w:p>
        </w:tc>
        <w:tc>
          <w:tcPr>
            <w:tcW w:w="8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23,165</w:t>
            </w:r>
          </w:p>
        </w:tc>
      </w:tr>
      <w:tr w:rsidR="009072DB" w:rsidRPr="009C238A" w:rsidTr="009072DB">
        <w:trPr>
          <w:trHeight w:val="255"/>
        </w:trPr>
        <w:tc>
          <w:tcPr>
            <w:tcW w:w="2591"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bCs/>
                <w:color w:val="000000" w:themeColor="text1"/>
                <w:sz w:val="20"/>
                <w:szCs w:val="20"/>
                <w:lang w:val="en-US"/>
              </w:rPr>
              <w:t>Total shareholders’ equity</w:t>
            </w:r>
          </w:p>
        </w:tc>
        <w:tc>
          <w:tcPr>
            <w:tcW w:w="77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351,178</w:t>
            </w:r>
          </w:p>
        </w:tc>
        <w:tc>
          <w:tcPr>
            <w:tcW w:w="77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(1,673)</w:t>
            </w:r>
          </w:p>
        </w:tc>
        <w:tc>
          <w:tcPr>
            <w:tcW w:w="8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349,505</w:t>
            </w:r>
          </w:p>
        </w:tc>
      </w:tr>
      <w:tr w:rsidR="009072DB" w:rsidRPr="009C238A" w:rsidTr="009072DB">
        <w:trPr>
          <w:trHeight w:val="255"/>
        </w:trPr>
        <w:tc>
          <w:tcPr>
            <w:tcW w:w="2591"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iCs/>
                <w:color w:val="000000" w:themeColor="text1"/>
                <w:sz w:val="20"/>
                <w:szCs w:val="20"/>
                <w:lang w:val="en-US"/>
              </w:rPr>
              <w:t>Shareholders’ equity attributable to shareholders of the Parent Company</w:t>
            </w:r>
          </w:p>
        </w:tc>
        <w:tc>
          <w:tcPr>
            <w:tcW w:w="77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350,967</w:t>
            </w:r>
          </w:p>
        </w:tc>
        <w:tc>
          <w:tcPr>
            <w:tcW w:w="77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(1,673)</w:t>
            </w:r>
          </w:p>
        </w:tc>
        <w:tc>
          <w:tcPr>
            <w:tcW w:w="8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349,294</w:t>
            </w:r>
          </w:p>
        </w:tc>
      </w:tr>
      <w:tr w:rsidR="009072DB" w:rsidRPr="009C238A" w:rsidTr="009072DB">
        <w:trPr>
          <w:trHeight w:val="255"/>
        </w:trPr>
        <w:tc>
          <w:tcPr>
            <w:tcW w:w="2591" w:type="pct"/>
            <w:tcBorders>
              <w:top w:val="nil"/>
              <w:left w:val="nil"/>
              <w:bottom w:val="single" w:sz="4" w:space="0" w:color="auto"/>
              <w:right w:val="nil"/>
            </w:tcBorders>
            <w:shd w:val="clear" w:color="auto" w:fill="auto"/>
            <w:noWrap/>
            <w:vAlign w:val="center"/>
            <w:hideMark/>
          </w:tcPr>
          <w:p w:rsidR="009072DB" w:rsidRPr="009C238A" w:rsidRDefault="009072DB" w:rsidP="009072DB">
            <w:pPr>
              <w:rPr>
                <w:sz w:val="20"/>
                <w:szCs w:val="20"/>
                <w:lang w:val="en-US"/>
              </w:rPr>
            </w:pPr>
            <w:r w:rsidRPr="009C238A">
              <w:rPr>
                <w:i/>
                <w:iCs/>
                <w:color w:val="000000" w:themeColor="text1"/>
                <w:sz w:val="20"/>
                <w:szCs w:val="20"/>
                <w:lang w:val="en-US"/>
              </w:rPr>
              <w:t>Shareholders’ equity attributable to minority interests</w:t>
            </w:r>
          </w:p>
        </w:tc>
        <w:tc>
          <w:tcPr>
            <w:tcW w:w="776"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211</w:t>
            </w:r>
          </w:p>
        </w:tc>
        <w:tc>
          <w:tcPr>
            <w:tcW w:w="776"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w:t>
            </w:r>
          </w:p>
        </w:tc>
        <w:tc>
          <w:tcPr>
            <w:tcW w:w="857"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211</w:t>
            </w:r>
          </w:p>
        </w:tc>
      </w:tr>
    </w:tbl>
    <w:p w:rsidR="009072DB" w:rsidRPr="009C238A" w:rsidRDefault="009072DB" w:rsidP="009072DB">
      <w:pPr>
        <w:spacing w:after="200" w:line="276" w:lineRule="auto"/>
        <w:jc w:val="both"/>
        <w:rPr>
          <w:highlight w:val="yellow"/>
          <w:lang w:val="en-US"/>
        </w:rPr>
      </w:pPr>
    </w:p>
    <w:tbl>
      <w:tblPr>
        <w:tblW w:w="5000" w:type="pct"/>
        <w:tblLayout w:type="fixed"/>
        <w:tblCellMar>
          <w:left w:w="70" w:type="dxa"/>
          <w:right w:w="70" w:type="dxa"/>
        </w:tblCellMar>
        <w:tblLook w:val="04A0"/>
      </w:tblPr>
      <w:tblGrid>
        <w:gridCol w:w="5854"/>
        <w:gridCol w:w="974"/>
        <w:gridCol w:w="1283"/>
        <w:gridCol w:w="1668"/>
      </w:tblGrid>
      <w:tr w:rsidR="009072DB" w:rsidRPr="009C238A" w:rsidTr="009072DB">
        <w:trPr>
          <w:trHeight w:val="255"/>
        </w:trPr>
        <w:tc>
          <w:tcPr>
            <w:tcW w:w="2993"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498"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65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853" w:type="pct"/>
            <w:tcBorders>
              <w:top w:val="nil"/>
              <w:left w:val="nil"/>
              <w:bottom w:val="nil"/>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At December 31, 2012</w:t>
            </w:r>
          </w:p>
        </w:tc>
      </w:tr>
      <w:tr w:rsidR="009072DB" w:rsidRPr="009C238A" w:rsidTr="009072DB">
        <w:trPr>
          <w:trHeight w:val="255"/>
        </w:trPr>
        <w:tc>
          <w:tcPr>
            <w:tcW w:w="2993"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498"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65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853"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r>
      <w:tr w:rsidR="009072DB" w:rsidRPr="009C238A" w:rsidTr="009072DB">
        <w:trPr>
          <w:trHeight w:val="1020"/>
        </w:trPr>
        <w:tc>
          <w:tcPr>
            <w:tcW w:w="2993"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49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ind w:left="-116"/>
              <w:jc w:val="right"/>
              <w:rPr>
                <w:b/>
                <w:bCs/>
                <w:sz w:val="20"/>
                <w:szCs w:val="20"/>
                <w:lang w:val="en-US"/>
              </w:rPr>
            </w:pPr>
            <w:r w:rsidRPr="009C238A">
              <w:rPr>
                <w:b/>
                <w:bCs/>
                <w:color w:val="000000" w:themeColor="text1"/>
                <w:sz w:val="20"/>
                <w:szCs w:val="20"/>
                <w:lang w:val="en-US"/>
              </w:rPr>
              <w:t>Amounts as previously reported</w:t>
            </w:r>
          </w:p>
        </w:tc>
        <w:tc>
          <w:tcPr>
            <w:tcW w:w="65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ind w:right="-23"/>
              <w:jc w:val="right"/>
              <w:rPr>
                <w:b/>
                <w:bCs/>
                <w:sz w:val="20"/>
                <w:szCs w:val="20"/>
                <w:lang w:val="en-US"/>
              </w:rPr>
            </w:pPr>
            <w:r w:rsidRPr="009C238A">
              <w:rPr>
                <w:b/>
                <w:bCs/>
                <w:color w:val="000000" w:themeColor="text1"/>
                <w:sz w:val="20"/>
                <w:szCs w:val="20"/>
                <w:lang w:val="en-US"/>
              </w:rPr>
              <w:t>IAS 19 revised adoption effect</w:t>
            </w:r>
          </w:p>
        </w:tc>
        <w:tc>
          <w:tcPr>
            <w:tcW w:w="853"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Amounts as restated</w:t>
            </w:r>
          </w:p>
        </w:tc>
      </w:tr>
      <w:tr w:rsidR="009072DB" w:rsidRPr="00923B29" w:rsidTr="009072DB">
        <w:trPr>
          <w:trHeight w:val="255"/>
        </w:trPr>
        <w:tc>
          <w:tcPr>
            <w:tcW w:w="2993" w:type="pct"/>
            <w:tcBorders>
              <w:top w:val="nil"/>
              <w:left w:val="nil"/>
              <w:bottom w:val="nil"/>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Effects on the statement of financial position:</w:t>
            </w:r>
          </w:p>
        </w:tc>
        <w:tc>
          <w:tcPr>
            <w:tcW w:w="498"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 </w:t>
            </w:r>
          </w:p>
        </w:tc>
        <w:tc>
          <w:tcPr>
            <w:tcW w:w="656"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 </w:t>
            </w:r>
          </w:p>
        </w:tc>
        <w:tc>
          <w:tcPr>
            <w:tcW w:w="853" w:type="pct"/>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 </w:t>
            </w:r>
          </w:p>
        </w:tc>
      </w:tr>
      <w:tr w:rsidR="009072DB" w:rsidRPr="009C238A" w:rsidTr="009072DB">
        <w:trPr>
          <w:trHeight w:val="255"/>
        </w:trPr>
        <w:tc>
          <w:tcPr>
            <w:tcW w:w="2993"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Deferred-tax assets</w:t>
            </w:r>
          </w:p>
        </w:tc>
        <w:tc>
          <w:tcPr>
            <w:tcW w:w="49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20,208</w:t>
            </w:r>
          </w:p>
        </w:tc>
        <w:tc>
          <w:tcPr>
            <w:tcW w:w="65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1,134</w:t>
            </w:r>
          </w:p>
        </w:tc>
        <w:tc>
          <w:tcPr>
            <w:tcW w:w="853"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21,342</w:t>
            </w:r>
          </w:p>
        </w:tc>
      </w:tr>
      <w:tr w:rsidR="009072DB" w:rsidRPr="009C238A" w:rsidTr="009072DB">
        <w:trPr>
          <w:trHeight w:val="255"/>
        </w:trPr>
        <w:tc>
          <w:tcPr>
            <w:tcW w:w="2993"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Provisions for employee severance indemnities and </w:t>
            </w:r>
            <w:r w:rsidRPr="009C238A">
              <w:rPr>
                <w:color w:val="000000" w:themeColor="text1"/>
                <w:sz w:val="20"/>
                <w:szCs w:val="20"/>
                <w:lang w:val="en-US"/>
              </w:rPr>
              <w:br/>
              <w:t>other employee benefits</w:t>
            </w:r>
          </w:p>
        </w:tc>
        <w:tc>
          <w:tcPr>
            <w:tcW w:w="49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21,589</w:t>
            </w:r>
          </w:p>
        </w:tc>
        <w:tc>
          <w:tcPr>
            <w:tcW w:w="65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4,213</w:t>
            </w:r>
          </w:p>
        </w:tc>
        <w:tc>
          <w:tcPr>
            <w:tcW w:w="853"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25,802</w:t>
            </w:r>
          </w:p>
        </w:tc>
      </w:tr>
      <w:tr w:rsidR="009072DB" w:rsidRPr="009C238A" w:rsidTr="009072DB">
        <w:trPr>
          <w:trHeight w:val="255"/>
        </w:trPr>
        <w:tc>
          <w:tcPr>
            <w:tcW w:w="2993"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bCs/>
                <w:color w:val="000000" w:themeColor="text1"/>
                <w:sz w:val="20"/>
                <w:szCs w:val="20"/>
                <w:lang w:val="en-US"/>
              </w:rPr>
              <w:t>Total shareholders’ equity</w:t>
            </w:r>
          </w:p>
        </w:tc>
        <w:tc>
          <w:tcPr>
            <w:tcW w:w="49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368,081</w:t>
            </w:r>
          </w:p>
        </w:tc>
        <w:tc>
          <w:tcPr>
            <w:tcW w:w="65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(3,079)</w:t>
            </w:r>
          </w:p>
        </w:tc>
        <w:tc>
          <w:tcPr>
            <w:tcW w:w="853"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365,002</w:t>
            </w:r>
          </w:p>
        </w:tc>
      </w:tr>
      <w:tr w:rsidR="009072DB" w:rsidRPr="009C238A" w:rsidTr="009072DB">
        <w:trPr>
          <w:trHeight w:val="255"/>
        </w:trPr>
        <w:tc>
          <w:tcPr>
            <w:tcW w:w="2993"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iCs/>
                <w:color w:val="000000" w:themeColor="text1"/>
                <w:sz w:val="20"/>
                <w:szCs w:val="20"/>
                <w:lang w:val="en-US"/>
              </w:rPr>
              <w:t>Shareholders’ equity attributable to shareholders of the Parent Company</w:t>
            </w:r>
          </w:p>
        </w:tc>
        <w:tc>
          <w:tcPr>
            <w:tcW w:w="498"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367,587</w:t>
            </w:r>
          </w:p>
        </w:tc>
        <w:tc>
          <w:tcPr>
            <w:tcW w:w="65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(3,079)</w:t>
            </w:r>
          </w:p>
        </w:tc>
        <w:tc>
          <w:tcPr>
            <w:tcW w:w="853"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364,508</w:t>
            </w:r>
          </w:p>
        </w:tc>
      </w:tr>
      <w:tr w:rsidR="009072DB" w:rsidRPr="009C238A" w:rsidTr="009072DB">
        <w:trPr>
          <w:trHeight w:val="255"/>
        </w:trPr>
        <w:tc>
          <w:tcPr>
            <w:tcW w:w="2993" w:type="pct"/>
            <w:tcBorders>
              <w:top w:val="nil"/>
              <w:left w:val="nil"/>
              <w:bottom w:val="single" w:sz="4" w:space="0" w:color="auto"/>
              <w:right w:val="nil"/>
            </w:tcBorders>
            <w:shd w:val="clear" w:color="auto" w:fill="auto"/>
            <w:noWrap/>
            <w:vAlign w:val="center"/>
            <w:hideMark/>
          </w:tcPr>
          <w:p w:rsidR="009072DB" w:rsidRPr="009C238A" w:rsidRDefault="009072DB" w:rsidP="009072DB">
            <w:pPr>
              <w:rPr>
                <w:sz w:val="20"/>
                <w:szCs w:val="20"/>
                <w:lang w:val="en-US"/>
              </w:rPr>
            </w:pPr>
            <w:r w:rsidRPr="009C238A">
              <w:rPr>
                <w:i/>
                <w:iCs/>
                <w:color w:val="000000" w:themeColor="text1"/>
                <w:sz w:val="20"/>
                <w:szCs w:val="20"/>
                <w:lang w:val="en-US"/>
              </w:rPr>
              <w:t>Shareholders’ equity attributable to minority interests</w:t>
            </w:r>
          </w:p>
        </w:tc>
        <w:tc>
          <w:tcPr>
            <w:tcW w:w="49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494</w:t>
            </w:r>
          </w:p>
        </w:tc>
        <w:tc>
          <w:tcPr>
            <w:tcW w:w="656"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w:t>
            </w:r>
          </w:p>
        </w:tc>
        <w:tc>
          <w:tcPr>
            <w:tcW w:w="853"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494</w:t>
            </w:r>
          </w:p>
        </w:tc>
      </w:tr>
    </w:tbl>
    <w:p w:rsidR="009072DB" w:rsidRPr="009C238A" w:rsidRDefault="009072DB" w:rsidP="009072DB">
      <w:pPr>
        <w:spacing w:after="200" w:line="276" w:lineRule="auto"/>
        <w:jc w:val="both"/>
        <w:rPr>
          <w:highlight w:val="yellow"/>
          <w:lang w:val="en-US"/>
        </w:rPr>
      </w:pPr>
    </w:p>
    <w:tbl>
      <w:tblPr>
        <w:tblW w:w="9709" w:type="dxa"/>
        <w:tblInd w:w="70" w:type="dxa"/>
        <w:tblCellMar>
          <w:left w:w="70" w:type="dxa"/>
          <w:right w:w="70" w:type="dxa"/>
        </w:tblCellMar>
        <w:tblLook w:val="04A0"/>
      </w:tblPr>
      <w:tblGrid>
        <w:gridCol w:w="5303"/>
        <w:gridCol w:w="1570"/>
        <w:gridCol w:w="1571"/>
        <w:gridCol w:w="1265"/>
      </w:tblGrid>
      <w:tr w:rsidR="009072DB" w:rsidRPr="009C238A" w:rsidTr="009072DB">
        <w:trPr>
          <w:trHeight w:val="480"/>
        </w:trPr>
        <w:tc>
          <w:tcPr>
            <w:tcW w:w="5303"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70"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71"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265" w:type="dxa"/>
            <w:tcBorders>
              <w:top w:val="nil"/>
              <w:left w:val="nil"/>
              <w:bottom w:val="nil"/>
              <w:right w:val="nil"/>
            </w:tcBorders>
            <w:shd w:val="clear" w:color="auto" w:fill="auto"/>
            <w:vAlign w:val="bottom"/>
            <w:hideMark/>
          </w:tcPr>
          <w:p w:rsidR="009072DB" w:rsidRPr="009C238A" w:rsidRDefault="009072DB" w:rsidP="009072DB">
            <w:pPr>
              <w:jc w:val="right"/>
              <w:rPr>
                <w:b/>
                <w:bCs/>
                <w:color w:val="000000"/>
                <w:sz w:val="18"/>
                <w:szCs w:val="18"/>
                <w:lang w:val="en-US"/>
              </w:rPr>
            </w:pPr>
            <w:r w:rsidRPr="009C238A">
              <w:rPr>
                <w:b/>
                <w:bCs/>
                <w:color w:val="000000"/>
                <w:sz w:val="18"/>
                <w:szCs w:val="18"/>
                <w:lang w:val="en-US"/>
              </w:rPr>
              <w:t xml:space="preserve">First nine months </w:t>
            </w:r>
            <w:r w:rsidRPr="009C238A">
              <w:rPr>
                <w:b/>
                <w:bCs/>
                <w:color w:val="000000"/>
                <w:sz w:val="18"/>
                <w:szCs w:val="18"/>
                <w:lang w:val="en-US"/>
              </w:rPr>
              <w:br/>
              <w:t>2012</w:t>
            </w:r>
          </w:p>
        </w:tc>
      </w:tr>
      <w:tr w:rsidR="009072DB" w:rsidRPr="009C238A" w:rsidTr="009072DB">
        <w:trPr>
          <w:trHeight w:val="255"/>
        </w:trPr>
        <w:tc>
          <w:tcPr>
            <w:tcW w:w="5303"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70"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71"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265"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r>
      <w:tr w:rsidR="009072DB" w:rsidRPr="009C238A" w:rsidTr="009072DB">
        <w:trPr>
          <w:trHeight w:val="1020"/>
        </w:trPr>
        <w:tc>
          <w:tcPr>
            <w:tcW w:w="5303" w:type="dxa"/>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1570" w:type="dxa"/>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Amounts as previously reported</w:t>
            </w:r>
          </w:p>
        </w:tc>
        <w:tc>
          <w:tcPr>
            <w:tcW w:w="1571" w:type="dxa"/>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IAS 19 revised adoption effect</w:t>
            </w:r>
          </w:p>
        </w:tc>
        <w:tc>
          <w:tcPr>
            <w:tcW w:w="1265" w:type="dxa"/>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Amounts as restated</w:t>
            </w:r>
          </w:p>
        </w:tc>
      </w:tr>
      <w:tr w:rsidR="009072DB" w:rsidRPr="00923B29" w:rsidTr="009072DB">
        <w:trPr>
          <w:trHeight w:val="255"/>
        </w:trPr>
        <w:tc>
          <w:tcPr>
            <w:tcW w:w="5303" w:type="dxa"/>
            <w:tcBorders>
              <w:top w:val="nil"/>
              <w:left w:val="nil"/>
              <w:bottom w:val="nil"/>
              <w:right w:val="nil"/>
            </w:tcBorders>
            <w:shd w:val="clear" w:color="auto" w:fill="auto"/>
            <w:noWrap/>
            <w:vAlign w:val="bottom"/>
            <w:hideMark/>
          </w:tcPr>
          <w:p w:rsidR="009072DB" w:rsidRPr="009C238A" w:rsidRDefault="009072DB" w:rsidP="009072DB">
            <w:pPr>
              <w:rPr>
                <w:b/>
                <w:bCs/>
                <w:sz w:val="20"/>
                <w:szCs w:val="20"/>
                <w:lang w:val="en-US"/>
              </w:rPr>
            </w:pPr>
            <w:r w:rsidRPr="009C238A">
              <w:rPr>
                <w:b/>
                <w:bCs/>
                <w:color w:val="000000" w:themeColor="text1"/>
                <w:sz w:val="20"/>
                <w:szCs w:val="20"/>
                <w:lang w:val="en-US"/>
              </w:rPr>
              <w:t>Effects on the comprehensive income statement:</w:t>
            </w:r>
          </w:p>
        </w:tc>
        <w:tc>
          <w:tcPr>
            <w:tcW w:w="1570"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71"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265"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r>
      <w:tr w:rsidR="009072DB" w:rsidRPr="009C238A" w:rsidTr="009072DB">
        <w:trPr>
          <w:trHeight w:val="255"/>
        </w:trPr>
        <w:tc>
          <w:tcPr>
            <w:tcW w:w="5303"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Profit/(loss) for the period</w:t>
            </w:r>
          </w:p>
        </w:tc>
        <w:tc>
          <w:tcPr>
            <w:tcW w:w="1570"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66,955</w:t>
            </w:r>
          </w:p>
        </w:tc>
        <w:tc>
          <w:tcPr>
            <w:tcW w:w="1571"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265"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66,955</w:t>
            </w:r>
          </w:p>
        </w:tc>
      </w:tr>
      <w:tr w:rsidR="009072DB" w:rsidRPr="009C238A" w:rsidTr="009072DB">
        <w:trPr>
          <w:trHeight w:val="255"/>
        </w:trPr>
        <w:tc>
          <w:tcPr>
            <w:tcW w:w="5303" w:type="dxa"/>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Profit/(loss) on employee benefits</w:t>
            </w:r>
          </w:p>
        </w:tc>
        <w:tc>
          <w:tcPr>
            <w:tcW w:w="1570"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571"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(1,054)</w:t>
            </w:r>
          </w:p>
        </w:tc>
        <w:tc>
          <w:tcPr>
            <w:tcW w:w="1265"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(1,054)</w:t>
            </w:r>
          </w:p>
        </w:tc>
      </w:tr>
      <w:tr w:rsidR="009072DB" w:rsidRPr="009C238A" w:rsidTr="009072DB">
        <w:trPr>
          <w:trHeight w:val="510"/>
        </w:trPr>
        <w:tc>
          <w:tcPr>
            <w:tcW w:w="5303" w:type="dxa"/>
            <w:tcBorders>
              <w:top w:val="nil"/>
              <w:left w:val="nil"/>
              <w:bottom w:val="nil"/>
              <w:right w:val="nil"/>
            </w:tcBorders>
            <w:shd w:val="clear" w:color="auto" w:fill="auto"/>
            <w:vAlign w:val="bottom"/>
            <w:hideMark/>
          </w:tcPr>
          <w:p w:rsidR="009072DB" w:rsidRPr="009C238A" w:rsidRDefault="009072DB" w:rsidP="009072DB">
            <w:pPr>
              <w:rPr>
                <w:color w:val="000000" w:themeColor="text1"/>
                <w:sz w:val="20"/>
                <w:szCs w:val="20"/>
                <w:lang w:val="en-US"/>
              </w:rPr>
            </w:pPr>
            <w:r w:rsidRPr="009C238A">
              <w:rPr>
                <w:color w:val="000000" w:themeColor="text1"/>
                <w:sz w:val="20"/>
                <w:szCs w:val="20"/>
                <w:lang w:val="en-US"/>
              </w:rPr>
              <w:t>Total comprehensive profit/(loss) that will not be reclassified</w:t>
            </w:r>
          </w:p>
          <w:p w:rsidR="009072DB" w:rsidRPr="009C238A" w:rsidRDefault="009072DB" w:rsidP="009072DB">
            <w:pPr>
              <w:rPr>
                <w:sz w:val="20"/>
                <w:szCs w:val="20"/>
                <w:lang w:val="en-US"/>
              </w:rPr>
            </w:pPr>
            <w:r w:rsidRPr="009C238A">
              <w:rPr>
                <w:color w:val="000000" w:themeColor="text1"/>
                <w:sz w:val="20"/>
                <w:szCs w:val="20"/>
                <w:lang w:val="en-US"/>
              </w:rPr>
              <w:t>in profit/(loss) of the period</w:t>
            </w:r>
          </w:p>
        </w:tc>
        <w:tc>
          <w:tcPr>
            <w:tcW w:w="1570"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571"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(1,054)</w:t>
            </w:r>
          </w:p>
        </w:tc>
        <w:tc>
          <w:tcPr>
            <w:tcW w:w="1265"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(1,054)</w:t>
            </w:r>
          </w:p>
        </w:tc>
      </w:tr>
      <w:tr w:rsidR="009072DB" w:rsidRPr="009C238A" w:rsidTr="009072DB">
        <w:trPr>
          <w:trHeight w:val="510"/>
        </w:trPr>
        <w:tc>
          <w:tcPr>
            <w:tcW w:w="5303" w:type="dxa"/>
            <w:tcBorders>
              <w:top w:val="nil"/>
              <w:left w:val="nil"/>
              <w:bottom w:val="nil"/>
              <w:right w:val="nil"/>
            </w:tcBorders>
            <w:shd w:val="clear" w:color="auto" w:fill="auto"/>
            <w:vAlign w:val="bottom"/>
            <w:hideMark/>
          </w:tcPr>
          <w:p w:rsidR="009072DB" w:rsidRPr="009C238A" w:rsidRDefault="009072DB" w:rsidP="009072DB">
            <w:pPr>
              <w:rPr>
                <w:color w:val="000000" w:themeColor="text1"/>
                <w:sz w:val="20"/>
                <w:szCs w:val="20"/>
                <w:lang w:val="en-US"/>
              </w:rPr>
            </w:pPr>
            <w:r w:rsidRPr="009C238A">
              <w:rPr>
                <w:color w:val="000000" w:themeColor="text1"/>
                <w:sz w:val="20"/>
                <w:szCs w:val="20"/>
                <w:lang w:val="en-US"/>
              </w:rPr>
              <w:t>Total comprehensive profit/(loss) that will be reclassified</w:t>
            </w:r>
          </w:p>
          <w:p w:rsidR="009072DB" w:rsidRPr="009C238A" w:rsidRDefault="009072DB" w:rsidP="009072DB">
            <w:pPr>
              <w:rPr>
                <w:sz w:val="20"/>
                <w:szCs w:val="20"/>
                <w:lang w:val="en-US"/>
              </w:rPr>
            </w:pPr>
            <w:r w:rsidRPr="009C238A">
              <w:rPr>
                <w:color w:val="000000" w:themeColor="text1"/>
                <w:sz w:val="20"/>
                <w:szCs w:val="20"/>
                <w:lang w:val="en-US"/>
              </w:rPr>
              <w:t>in profit/(loss) of the period</w:t>
            </w:r>
          </w:p>
        </w:tc>
        <w:tc>
          <w:tcPr>
            <w:tcW w:w="1570"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(1,995)</w:t>
            </w:r>
          </w:p>
        </w:tc>
        <w:tc>
          <w:tcPr>
            <w:tcW w:w="1571"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265"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(1,995)</w:t>
            </w:r>
          </w:p>
        </w:tc>
      </w:tr>
      <w:tr w:rsidR="009072DB" w:rsidRPr="009C238A" w:rsidTr="009072DB">
        <w:trPr>
          <w:trHeight w:val="255"/>
        </w:trPr>
        <w:tc>
          <w:tcPr>
            <w:tcW w:w="5303" w:type="dxa"/>
            <w:tcBorders>
              <w:top w:val="nil"/>
              <w:left w:val="nil"/>
              <w:bottom w:val="single" w:sz="4" w:space="0" w:color="auto"/>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TOTAL COMPREHENSIVE PROFIT/(LOSS)</w:t>
            </w:r>
          </w:p>
        </w:tc>
        <w:tc>
          <w:tcPr>
            <w:tcW w:w="1570" w:type="dxa"/>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64,960</w:t>
            </w:r>
          </w:p>
        </w:tc>
        <w:tc>
          <w:tcPr>
            <w:tcW w:w="1571" w:type="dxa"/>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(1,054)</w:t>
            </w:r>
          </w:p>
        </w:tc>
        <w:tc>
          <w:tcPr>
            <w:tcW w:w="1265" w:type="dxa"/>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63,906</w:t>
            </w:r>
          </w:p>
        </w:tc>
      </w:tr>
    </w:tbl>
    <w:p w:rsidR="009072DB" w:rsidRPr="009C238A" w:rsidRDefault="009072DB" w:rsidP="009072DB">
      <w:pPr>
        <w:spacing w:after="200" w:line="276" w:lineRule="auto"/>
        <w:jc w:val="both"/>
        <w:rPr>
          <w:highlight w:val="yellow"/>
          <w:lang w:val="en-US"/>
        </w:rPr>
      </w:pPr>
    </w:p>
    <w:p w:rsidR="009072DB" w:rsidRPr="009C238A" w:rsidRDefault="009072DB" w:rsidP="009072DB">
      <w:pPr>
        <w:rPr>
          <w:highlight w:val="yellow"/>
          <w:lang w:val="en-US"/>
        </w:rPr>
      </w:pPr>
      <w:r w:rsidRPr="009C238A">
        <w:rPr>
          <w:highlight w:val="yellow"/>
          <w:lang w:val="en-US"/>
        </w:rPr>
        <w:br w:type="page"/>
      </w:r>
    </w:p>
    <w:tbl>
      <w:tblPr>
        <w:tblW w:w="9709" w:type="dxa"/>
        <w:tblInd w:w="70" w:type="dxa"/>
        <w:tblCellMar>
          <w:left w:w="70" w:type="dxa"/>
          <w:right w:w="70" w:type="dxa"/>
        </w:tblCellMar>
        <w:tblLook w:val="04A0"/>
      </w:tblPr>
      <w:tblGrid>
        <w:gridCol w:w="5209"/>
        <w:gridCol w:w="1583"/>
        <w:gridCol w:w="1584"/>
        <w:gridCol w:w="1333"/>
      </w:tblGrid>
      <w:tr w:rsidR="009072DB" w:rsidRPr="009C238A" w:rsidTr="009072DB">
        <w:trPr>
          <w:trHeight w:val="255"/>
        </w:trPr>
        <w:tc>
          <w:tcPr>
            <w:tcW w:w="5209"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83"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84"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333" w:type="dxa"/>
            <w:tcBorders>
              <w:top w:val="nil"/>
              <w:left w:val="nil"/>
              <w:bottom w:val="nil"/>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2012</w:t>
            </w:r>
          </w:p>
        </w:tc>
      </w:tr>
      <w:tr w:rsidR="009072DB" w:rsidRPr="009C238A" w:rsidTr="009072DB">
        <w:trPr>
          <w:trHeight w:val="255"/>
        </w:trPr>
        <w:tc>
          <w:tcPr>
            <w:tcW w:w="5209"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83"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84"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333"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r>
      <w:tr w:rsidR="009072DB" w:rsidRPr="009C238A" w:rsidTr="009072DB">
        <w:trPr>
          <w:trHeight w:val="1020"/>
        </w:trPr>
        <w:tc>
          <w:tcPr>
            <w:tcW w:w="5209" w:type="dxa"/>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1583" w:type="dxa"/>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Amounts as previously reported</w:t>
            </w:r>
          </w:p>
        </w:tc>
        <w:tc>
          <w:tcPr>
            <w:tcW w:w="1584" w:type="dxa"/>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IAS 19 revised adoption effect</w:t>
            </w:r>
          </w:p>
        </w:tc>
        <w:tc>
          <w:tcPr>
            <w:tcW w:w="1333" w:type="dxa"/>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Amounts as restated</w:t>
            </w:r>
          </w:p>
        </w:tc>
      </w:tr>
      <w:tr w:rsidR="009072DB" w:rsidRPr="00923B29" w:rsidTr="009072DB">
        <w:trPr>
          <w:trHeight w:val="255"/>
        </w:trPr>
        <w:tc>
          <w:tcPr>
            <w:tcW w:w="5209" w:type="dxa"/>
            <w:tcBorders>
              <w:top w:val="nil"/>
              <w:left w:val="nil"/>
              <w:bottom w:val="nil"/>
              <w:right w:val="nil"/>
            </w:tcBorders>
            <w:shd w:val="clear" w:color="auto" w:fill="auto"/>
            <w:noWrap/>
            <w:vAlign w:val="bottom"/>
            <w:hideMark/>
          </w:tcPr>
          <w:p w:rsidR="009072DB" w:rsidRPr="009C238A" w:rsidRDefault="009072DB" w:rsidP="009072DB">
            <w:pPr>
              <w:rPr>
                <w:b/>
                <w:bCs/>
                <w:sz w:val="20"/>
                <w:szCs w:val="20"/>
                <w:lang w:val="en-US"/>
              </w:rPr>
            </w:pPr>
            <w:r w:rsidRPr="009C238A">
              <w:rPr>
                <w:b/>
                <w:bCs/>
                <w:color w:val="000000" w:themeColor="text1"/>
                <w:sz w:val="20"/>
                <w:szCs w:val="20"/>
                <w:lang w:val="en-US"/>
              </w:rPr>
              <w:t>Effects on the comprehensive income statement:</w:t>
            </w:r>
          </w:p>
        </w:tc>
        <w:tc>
          <w:tcPr>
            <w:tcW w:w="1583"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584"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c>
          <w:tcPr>
            <w:tcW w:w="1333"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p>
        </w:tc>
      </w:tr>
      <w:tr w:rsidR="009072DB" w:rsidRPr="009C238A" w:rsidTr="009072DB">
        <w:trPr>
          <w:trHeight w:val="255"/>
        </w:trPr>
        <w:tc>
          <w:tcPr>
            <w:tcW w:w="5209" w:type="dxa"/>
            <w:tcBorders>
              <w:top w:val="nil"/>
              <w:left w:val="nil"/>
              <w:bottom w:val="nil"/>
              <w:right w:val="nil"/>
            </w:tcBorders>
            <w:shd w:val="clear" w:color="auto" w:fill="auto"/>
            <w:noWrap/>
            <w:vAlign w:val="bottom"/>
            <w:hideMark/>
          </w:tcPr>
          <w:p w:rsidR="009072DB" w:rsidRPr="009C238A" w:rsidRDefault="009072DB" w:rsidP="009072DB">
            <w:pPr>
              <w:rPr>
                <w:sz w:val="20"/>
                <w:szCs w:val="20"/>
                <w:lang w:val="en-US"/>
              </w:rPr>
            </w:pPr>
            <w:r w:rsidRPr="009C238A">
              <w:rPr>
                <w:color w:val="000000" w:themeColor="text1"/>
                <w:sz w:val="20"/>
                <w:szCs w:val="20"/>
                <w:lang w:val="en-US"/>
              </w:rPr>
              <w:t>Profit/(loss) for the period</w:t>
            </w:r>
          </w:p>
        </w:tc>
        <w:tc>
          <w:tcPr>
            <w:tcW w:w="1583"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21,416</w:t>
            </w:r>
          </w:p>
        </w:tc>
        <w:tc>
          <w:tcPr>
            <w:tcW w:w="1584"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333"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21,416</w:t>
            </w:r>
          </w:p>
        </w:tc>
      </w:tr>
      <w:tr w:rsidR="009072DB" w:rsidRPr="009C238A" w:rsidTr="009072DB">
        <w:trPr>
          <w:trHeight w:val="255"/>
        </w:trPr>
        <w:tc>
          <w:tcPr>
            <w:tcW w:w="5209" w:type="dxa"/>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Profit/(loss) on employee benefits</w:t>
            </w:r>
          </w:p>
        </w:tc>
        <w:tc>
          <w:tcPr>
            <w:tcW w:w="1583"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584"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(351)</w:t>
            </w:r>
          </w:p>
        </w:tc>
        <w:tc>
          <w:tcPr>
            <w:tcW w:w="1333"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(351)</w:t>
            </w:r>
          </w:p>
        </w:tc>
      </w:tr>
      <w:tr w:rsidR="009072DB" w:rsidRPr="009C238A" w:rsidTr="009072DB">
        <w:trPr>
          <w:trHeight w:val="510"/>
        </w:trPr>
        <w:tc>
          <w:tcPr>
            <w:tcW w:w="5209" w:type="dxa"/>
            <w:tcBorders>
              <w:top w:val="nil"/>
              <w:left w:val="nil"/>
              <w:bottom w:val="nil"/>
              <w:right w:val="nil"/>
            </w:tcBorders>
            <w:shd w:val="clear" w:color="auto" w:fill="auto"/>
            <w:vAlign w:val="bottom"/>
            <w:hideMark/>
          </w:tcPr>
          <w:p w:rsidR="009072DB" w:rsidRPr="009C238A" w:rsidRDefault="009072DB" w:rsidP="009072DB">
            <w:pPr>
              <w:rPr>
                <w:color w:val="000000" w:themeColor="text1"/>
                <w:sz w:val="20"/>
                <w:szCs w:val="20"/>
                <w:lang w:val="en-US"/>
              </w:rPr>
            </w:pPr>
            <w:r w:rsidRPr="009C238A">
              <w:rPr>
                <w:color w:val="000000" w:themeColor="text1"/>
                <w:sz w:val="20"/>
                <w:szCs w:val="20"/>
                <w:lang w:val="en-US"/>
              </w:rPr>
              <w:t>Total comprehensive profit/(loss) that will not be reclassified</w:t>
            </w:r>
          </w:p>
          <w:p w:rsidR="009072DB" w:rsidRPr="009C238A" w:rsidRDefault="009072DB" w:rsidP="009072DB">
            <w:pPr>
              <w:rPr>
                <w:sz w:val="20"/>
                <w:szCs w:val="20"/>
                <w:lang w:val="en-US"/>
              </w:rPr>
            </w:pPr>
            <w:r w:rsidRPr="009C238A">
              <w:rPr>
                <w:color w:val="000000" w:themeColor="text1"/>
                <w:sz w:val="20"/>
                <w:szCs w:val="20"/>
                <w:lang w:val="en-US"/>
              </w:rPr>
              <w:t>in profit/(loss) of the period</w:t>
            </w:r>
          </w:p>
        </w:tc>
        <w:tc>
          <w:tcPr>
            <w:tcW w:w="1583"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584"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(351)</w:t>
            </w:r>
          </w:p>
        </w:tc>
        <w:tc>
          <w:tcPr>
            <w:tcW w:w="1333"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(351)</w:t>
            </w:r>
          </w:p>
        </w:tc>
      </w:tr>
      <w:tr w:rsidR="009072DB" w:rsidRPr="009C238A" w:rsidTr="009072DB">
        <w:trPr>
          <w:trHeight w:val="510"/>
        </w:trPr>
        <w:tc>
          <w:tcPr>
            <w:tcW w:w="5209" w:type="dxa"/>
            <w:tcBorders>
              <w:top w:val="nil"/>
              <w:left w:val="nil"/>
              <w:bottom w:val="nil"/>
              <w:right w:val="nil"/>
            </w:tcBorders>
            <w:shd w:val="clear" w:color="auto" w:fill="auto"/>
            <w:vAlign w:val="bottom"/>
            <w:hideMark/>
          </w:tcPr>
          <w:p w:rsidR="009072DB" w:rsidRPr="009C238A" w:rsidRDefault="009072DB" w:rsidP="009072DB">
            <w:pPr>
              <w:rPr>
                <w:color w:val="000000" w:themeColor="text1"/>
                <w:sz w:val="20"/>
                <w:szCs w:val="20"/>
                <w:lang w:val="en-US"/>
              </w:rPr>
            </w:pPr>
            <w:r w:rsidRPr="009C238A">
              <w:rPr>
                <w:color w:val="000000" w:themeColor="text1"/>
                <w:sz w:val="20"/>
                <w:szCs w:val="20"/>
                <w:lang w:val="en-US"/>
              </w:rPr>
              <w:t>Total comprehensive profit/(loss) that will be reclassified</w:t>
            </w:r>
          </w:p>
          <w:p w:rsidR="009072DB" w:rsidRPr="009C238A" w:rsidRDefault="009072DB" w:rsidP="009072DB">
            <w:pPr>
              <w:rPr>
                <w:sz w:val="20"/>
                <w:szCs w:val="20"/>
                <w:lang w:val="en-US"/>
              </w:rPr>
            </w:pPr>
            <w:r w:rsidRPr="009C238A">
              <w:rPr>
                <w:color w:val="000000" w:themeColor="text1"/>
                <w:sz w:val="20"/>
                <w:szCs w:val="20"/>
                <w:lang w:val="en-US"/>
              </w:rPr>
              <w:t>in profit/(loss) of the period</w:t>
            </w:r>
          </w:p>
        </w:tc>
        <w:tc>
          <w:tcPr>
            <w:tcW w:w="1583"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(3,450)</w:t>
            </w:r>
          </w:p>
        </w:tc>
        <w:tc>
          <w:tcPr>
            <w:tcW w:w="1584"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333" w:type="dxa"/>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(3,450)</w:t>
            </w:r>
          </w:p>
        </w:tc>
      </w:tr>
      <w:tr w:rsidR="009072DB" w:rsidRPr="009C238A" w:rsidTr="009072DB">
        <w:trPr>
          <w:trHeight w:val="255"/>
        </w:trPr>
        <w:tc>
          <w:tcPr>
            <w:tcW w:w="5209" w:type="dxa"/>
            <w:tcBorders>
              <w:top w:val="nil"/>
              <w:left w:val="nil"/>
              <w:bottom w:val="single" w:sz="4" w:space="0" w:color="auto"/>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TOTAL COMPREHENSIVE PROFIT/(LOSS)</w:t>
            </w:r>
          </w:p>
        </w:tc>
        <w:tc>
          <w:tcPr>
            <w:tcW w:w="1583" w:type="dxa"/>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17,966</w:t>
            </w:r>
          </w:p>
        </w:tc>
        <w:tc>
          <w:tcPr>
            <w:tcW w:w="1584" w:type="dxa"/>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(351)</w:t>
            </w:r>
          </w:p>
        </w:tc>
        <w:tc>
          <w:tcPr>
            <w:tcW w:w="1333" w:type="dxa"/>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17,615</w:t>
            </w:r>
          </w:p>
        </w:tc>
      </w:tr>
    </w:tbl>
    <w:p w:rsidR="009072DB" w:rsidRPr="009C238A" w:rsidRDefault="009072DB" w:rsidP="009072DB">
      <w:pPr>
        <w:spacing w:after="200" w:line="276" w:lineRule="auto"/>
        <w:jc w:val="both"/>
        <w:rPr>
          <w:highlight w:val="yellow"/>
          <w:lang w:val="en-US"/>
        </w:rPr>
      </w:pPr>
    </w:p>
    <w:p w:rsidR="009072DB"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On May 17, 2012, the IASB issued a set of amendments to IFRSs (“Annual Improvements to IFRSs 2009-2011 Cycle”), to be applied retrospectively from January 1, 2013; set out below are those applicable to the Group, excluding those that only regard changes in terminology having a limited accounting effect:</w:t>
      </w:r>
    </w:p>
    <w:p w:rsidR="00441006" w:rsidRPr="009C238A" w:rsidRDefault="00441006" w:rsidP="009072DB">
      <w:pPr>
        <w:widowControl w:val="0"/>
        <w:autoSpaceDE w:val="0"/>
        <w:autoSpaceDN w:val="0"/>
        <w:adjustRightInd w:val="0"/>
        <w:jc w:val="both"/>
        <w:rPr>
          <w:color w:val="000000" w:themeColor="text1"/>
          <w:lang w:val="en-US"/>
        </w:rPr>
      </w:pPr>
    </w:p>
    <w:p w:rsidR="009072DB" w:rsidRPr="009C238A" w:rsidRDefault="009072DB" w:rsidP="009072DB">
      <w:pPr>
        <w:numPr>
          <w:ilvl w:val="0"/>
          <w:numId w:val="10"/>
        </w:numPr>
        <w:spacing w:after="200" w:line="276" w:lineRule="auto"/>
        <w:jc w:val="both"/>
        <w:rPr>
          <w:lang w:val="en-US"/>
        </w:rPr>
      </w:pPr>
      <w:r w:rsidRPr="009C238A">
        <w:rPr>
          <w:lang w:val="en-US"/>
        </w:rPr>
        <w:t xml:space="preserve">IAS 1 – </w:t>
      </w:r>
      <w:r w:rsidRPr="009C238A">
        <w:rPr>
          <w:color w:val="000000" w:themeColor="text1"/>
          <w:lang w:val="en-US"/>
        </w:rPr>
        <w:t>Presentation of Financial Statements: the amendment clarifies the way in which comparative information should be presented when an entity changes accounting policies and when an entity provides comparative information in addition to the minimum comparative financial statements. This amendment was applied for assets and liabilities in accordance with the application of IAS 19, as the table above show.</w:t>
      </w:r>
    </w:p>
    <w:p w:rsidR="009072DB" w:rsidRPr="009C238A" w:rsidRDefault="009072DB" w:rsidP="009072DB">
      <w:pPr>
        <w:numPr>
          <w:ilvl w:val="0"/>
          <w:numId w:val="10"/>
        </w:numPr>
        <w:spacing w:after="200" w:line="276" w:lineRule="auto"/>
        <w:jc w:val="both"/>
        <w:rPr>
          <w:lang w:val="en-US"/>
        </w:rPr>
      </w:pPr>
      <w:r w:rsidRPr="009C238A">
        <w:rPr>
          <w:lang w:val="en-US"/>
        </w:rPr>
        <w:t xml:space="preserve">IAS 16 – </w:t>
      </w:r>
      <w:r w:rsidRPr="009C238A">
        <w:rPr>
          <w:bCs/>
          <w:color w:val="000000" w:themeColor="text1"/>
          <w:lang w:val="en-US"/>
        </w:rPr>
        <w:t>Property, plant and equipment</w:t>
      </w:r>
      <w:r w:rsidRPr="009C238A">
        <w:rPr>
          <w:color w:val="000000" w:themeColor="text1"/>
          <w:lang w:val="en-US"/>
        </w:rPr>
        <w:t xml:space="preserve">: </w:t>
      </w:r>
      <w:r w:rsidRPr="009C238A">
        <w:rPr>
          <w:bCs/>
          <w:color w:val="000000" w:themeColor="text1"/>
          <w:lang w:val="en-US"/>
        </w:rPr>
        <w:t>the amendment clarifies that the spare parts and replacement equipment must be capitalized only if they comply with the definition of property, plant and equipment, or should be classified as inventories</w:t>
      </w:r>
      <w:r w:rsidRPr="009C238A">
        <w:rPr>
          <w:color w:val="000000" w:themeColor="text1"/>
          <w:lang w:val="en-US"/>
        </w:rPr>
        <w:t>. The application of this amendment had no effect on the measurement of items provided in this Report.</w:t>
      </w:r>
    </w:p>
    <w:p w:rsidR="009072DB" w:rsidRPr="009C238A" w:rsidRDefault="009072DB" w:rsidP="009072DB">
      <w:pPr>
        <w:numPr>
          <w:ilvl w:val="0"/>
          <w:numId w:val="10"/>
        </w:numPr>
        <w:jc w:val="both"/>
        <w:rPr>
          <w:color w:val="000000" w:themeColor="text1"/>
          <w:lang w:val="en-US"/>
        </w:rPr>
      </w:pPr>
      <w:r w:rsidRPr="009C238A">
        <w:rPr>
          <w:lang w:val="en-US"/>
        </w:rPr>
        <w:t xml:space="preserve">IAS 32 – </w:t>
      </w:r>
      <w:r w:rsidRPr="009C238A">
        <w:rPr>
          <w:color w:val="000000" w:themeColor="text1"/>
          <w:lang w:val="en-US"/>
        </w:rPr>
        <w:t xml:space="preserve">Financial Instruments: Presentation: </w:t>
      </w:r>
      <w:r w:rsidRPr="009C238A">
        <w:rPr>
          <w:bCs/>
          <w:color w:val="000000" w:themeColor="text1"/>
          <w:lang w:val="en-US"/>
        </w:rPr>
        <w:t xml:space="preserve">the amendment eliminates an inconsistency between IAS 12 – </w:t>
      </w:r>
      <w:r w:rsidRPr="009C238A">
        <w:rPr>
          <w:bCs/>
          <w:i/>
          <w:color w:val="000000" w:themeColor="text1"/>
          <w:lang w:val="en-US"/>
        </w:rPr>
        <w:t>income tax</w:t>
      </w:r>
      <w:r w:rsidRPr="009C238A">
        <w:rPr>
          <w:bCs/>
          <w:color w:val="000000" w:themeColor="text1"/>
          <w:lang w:val="en-US"/>
        </w:rPr>
        <w:t xml:space="preserve"> and IAS 32 </w:t>
      </w:r>
      <w:r w:rsidRPr="009C238A">
        <w:rPr>
          <w:bCs/>
          <w:i/>
          <w:color w:val="000000" w:themeColor="text1"/>
          <w:lang w:val="en-US"/>
        </w:rPr>
        <w:t>on tax collection</w:t>
      </w:r>
      <w:r w:rsidRPr="009C238A">
        <w:rPr>
          <w:bCs/>
          <w:color w:val="000000" w:themeColor="text1"/>
          <w:lang w:val="en-US"/>
        </w:rPr>
        <w:t xml:space="preserve"> arising from distributions to shareholders that should be recognized in the income statement to the extent that the distribution refers to revenue generated from transactions originally entered in the income statement. </w:t>
      </w:r>
      <w:r w:rsidRPr="009C238A">
        <w:rPr>
          <w:color w:val="000000" w:themeColor="text1"/>
          <w:lang w:val="en-US"/>
        </w:rPr>
        <w:t xml:space="preserve">The application of this amendment had no effect on the measurement of items provided </w:t>
      </w:r>
      <w:r w:rsidR="00866117">
        <w:rPr>
          <w:color w:val="000000" w:themeColor="text1"/>
          <w:lang w:val="en-US"/>
        </w:rPr>
        <w:t>in this</w:t>
      </w:r>
      <w:r w:rsidRPr="009C238A">
        <w:rPr>
          <w:color w:val="000000" w:themeColor="text1"/>
          <w:lang w:val="en-US"/>
        </w:rPr>
        <w:t xml:space="preserve"> Report.</w:t>
      </w:r>
    </w:p>
    <w:p w:rsidR="009072DB" w:rsidRPr="009C238A" w:rsidRDefault="009072DB" w:rsidP="009072DB">
      <w:pPr>
        <w:spacing w:after="200" w:line="276" w:lineRule="auto"/>
        <w:ind w:left="720"/>
        <w:jc w:val="both"/>
        <w:rPr>
          <w:lang w:val="en-US"/>
        </w:rPr>
      </w:pPr>
    </w:p>
    <w:p w:rsidR="009072DB" w:rsidRPr="009C238A" w:rsidRDefault="009072DB" w:rsidP="009072DB">
      <w:pPr>
        <w:tabs>
          <w:tab w:val="left" w:pos="567"/>
          <w:tab w:val="left" w:pos="1134"/>
          <w:tab w:val="left" w:pos="1702"/>
          <w:tab w:val="left" w:pos="2269"/>
          <w:tab w:val="left" w:pos="2835"/>
          <w:tab w:val="left" w:pos="3402"/>
          <w:tab w:val="left" w:pos="3969"/>
        </w:tabs>
        <w:jc w:val="both"/>
        <w:rPr>
          <w:lang w:val="en-US"/>
        </w:rPr>
      </w:pPr>
    </w:p>
    <w:p w:rsidR="009072DB" w:rsidRPr="009C238A" w:rsidRDefault="009072DB" w:rsidP="009072DB">
      <w:pPr>
        <w:rPr>
          <w:i/>
          <w:u w:val="single"/>
          <w:lang w:val="en-US"/>
        </w:rPr>
      </w:pPr>
      <w:r w:rsidRPr="009C238A">
        <w:rPr>
          <w:i/>
          <w:u w:val="single"/>
          <w:lang w:val="en-US"/>
        </w:rPr>
        <w:br w:type="page"/>
      </w:r>
    </w:p>
    <w:p w:rsidR="009072DB" w:rsidRPr="009C238A" w:rsidRDefault="009072DB" w:rsidP="009072DB">
      <w:pPr>
        <w:widowControl w:val="0"/>
        <w:autoSpaceDE w:val="0"/>
        <w:autoSpaceDN w:val="0"/>
        <w:adjustRightInd w:val="0"/>
        <w:jc w:val="both"/>
        <w:rPr>
          <w:i/>
          <w:iCs/>
          <w:color w:val="000000" w:themeColor="text1"/>
          <w:u w:val="single"/>
          <w:lang w:val="en-US"/>
        </w:rPr>
      </w:pPr>
      <w:r w:rsidRPr="009C238A">
        <w:rPr>
          <w:i/>
          <w:iCs/>
          <w:color w:val="000000" w:themeColor="text1"/>
          <w:u w:val="single"/>
          <w:lang w:val="en-US"/>
        </w:rPr>
        <w:t xml:space="preserve">Financial statement presentation formats </w:t>
      </w:r>
    </w:p>
    <w:p w:rsidR="009072DB" w:rsidRPr="009C238A" w:rsidRDefault="009072DB" w:rsidP="009072DB">
      <w:pPr>
        <w:widowControl w:val="0"/>
        <w:autoSpaceDE w:val="0"/>
        <w:autoSpaceDN w:val="0"/>
        <w:adjustRightInd w:val="0"/>
        <w:jc w:val="both"/>
        <w:rPr>
          <w:color w:val="000000" w:themeColor="text1"/>
          <w:u w:val="single"/>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The financial statements are presented in accordance with the following formats: </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pStyle w:val="Paragrafoelenco"/>
        <w:widowControl w:val="0"/>
        <w:numPr>
          <w:ilvl w:val="0"/>
          <w:numId w:val="17"/>
        </w:numPr>
        <w:tabs>
          <w:tab w:val="left" w:pos="426"/>
        </w:tabs>
        <w:autoSpaceDE w:val="0"/>
        <w:autoSpaceDN w:val="0"/>
        <w:adjustRightInd w:val="0"/>
        <w:spacing w:after="27"/>
        <w:jc w:val="both"/>
        <w:rPr>
          <w:color w:val="000000" w:themeColor="text1"/>
          <w:lang w:val="en-US"/>
        </w:rPr>
      </w:pPr>
      <w:r w:rsidRPr="009C238A">
        <w:rPr>
          <w:color w:val="000000" w:themeColor="text1"/>
          <w:lang w:val="en-US"/>
        </w:rPr>
        <w:t xml:space="preserve">In the income statement, costs are broken down by function. This income statement format, also known as a “cost of sales” income statement, is more representative of the Group’s business than a presentation with expenses broken down by nature because it is consistent with internal reporting and business management methods and with international practice in the diagnostic industry; </w:t>
      </w:r>
    </w:p>
    <w:p w:rsidR="009072DB" w:rsidRPr="009C238A" w:rsidRDefault="009072DB" w:rsidP="009072DB">
      <w:pPr>
        <w:pStyle w:val="Paragrafoelenco"/>
        <w:widowControl w:val="0"/>
        <w:numPr>
          <w:ilvl w:val="0"/>
          <w:numId w:val="17"/>
        </w:numPr>
        <w:tabs>
          <w:tab w:val="left" w:pos="426"/>
        </w:tabs>
        <w:autoSpaceDE w:val="0"/>
        <w:autoSpaceDN w:val="0"/>
        <w:adjustRightInd w:val="0"/>
        <w:spacing w:after="27"/>
        <w:jc w:val="both"/>
        <w:rPr>
          <w:color w:val="000000" w:themeColor="text1"/>
          <w:lang w:val="en-US"/>
        </w:rPr>
      </w:pPr>
      <w:r w:rsidRPr="009C238A">
        <w:rPr>
          <w:color w:val="000000" w:themeColor="text1"/>
          <w:lang w:val="en-US"/>
        </w:rPr>
        <w:t xml:space="preserve">In the statement of financial position, current and non-current assets and current and non-current liabilities are shown separately; </w:t>
      </w:r>
    </w:p>
    <w:p w:rsidR="009072DB" w:rsidRPr="009C238A" w:rsidRDefault="009072DB" w:rsidP="009072DB">
      <w:pPr>
        <w:pStyle w:val="Paragrafoelenco"/>
        <w:widowControl w:val="0"/>
        <w:numPr>
          <w:ilvl w:val="0"/>
          <w:numId w:val="17"/>
        </w:numPr>
        <w:tabs>
          <w:tab w:val="left" w:pos="426"/>
        </w:tabs>
        <w:autoSpaceDE w:val="0"/>
        <w:autoSpaceDN w:val="0"/>
        <w:adjustRightInd w:val="0"/>
        <w:jc w:val="both"/>
        <w:rPr>
          <w:color w:val="000000" w:themeColor="text1"/>
          <w:lang w:val="en-US"/>
        </w:rPr>
      </w:pPr>
      <w:r w:rsidRPr="009C238A">
        <w:rPr>
          <w:color w:val="000000" w:themeColor="text1"/>
          <w:lang w:val="en-US"/>
        </w:rPr>
        <w:t xml:space="preserve">The statement of cash flows is presented in accordance with the indirect method. </w:t>
      </w:r>
    </w:p>
    <w:p w:rsidR="009072DB" w:rsidRDefault="009072DB" w:rsidP="009072DB">
      <w:pPr>
        <w:autoSpaceDE w:val="0"/>
        <w:autoSpaceDN w:val="0"/>
        <w:adjustRightInd w:val="0"/>
        <w:jc w:val="both"/>
        <w:rPr>
          <w:highlight w:val="yellow"/>
          <w:lang w:val="en-US"/>
        </w:rPr>
      </w:pPr>
    </w:p>
    <w:p w:rsidR="00E06A1C" w:rsidRPr="009C238A" w:rsidRDefault="00E06A1C" w:rsidP="009072DB">
      <w:pPr>
        <w:autoSpaceDE w:val="0"/>
        <w:autoSpaceDN w:val="0"/>
        <w:adjustRightInd w:val="0"/>
        <w:jc w:val="both"/>
        <w:rPr>
          <w:highlight w:val="yellow"/>
          <w:lang w:val="en-US"/>
        </w:rPr>
      </w:pPr>
    </w:p>
    <w:p w:rsidR="009072DB" w:rsidRPr="009C238A" w:rsidRDefault="009072DB" w:rsidP="009072DB">
      <w:pPr>
        <w:widowControl w:val="0"/>
        <w:autoSpaceDE w:val="0"/>
        <w:autoSpaceDN w:val="0"/>
        <w:adjustRightInd w:val="0"/>
        <w:jc w:val="both"/>
        <w:rPr>
          <w:i/>
          <w:iCs/>
          <w:color w:val="000000" w:themeColor="text1"/>
          <w:u w:val="single"/>
          <w:lang w:val="en-US"/>
        </w:rPr>
      </w:pPr>
      <w:r w:rsidRPr="009C238A">
        <w:rPr>
          <w:i/>
          <w:iCs/>
          <w:color w:val="000000" w:themeColor="text1"/>
          <w:u w:val="single"/>
          <w:lang w:val="en-US"/>
        </w:rPr>
        <w:t xml:space="preserve">Scope of consolidation </w:t>
      </w:r>
    </w:p>
    <w:p w:rsidR="009072DB" w:rsidRPr="009C238A" w:rsidRDefault="009072DB" w:rsidP="009072DB">
      <w:pPr>
        <w:widowControl w:val="0"/>
        <w:autoSpaceDE w:val="0"/>
        <w:autoSpaceDN w:val="0"/>
        <w:adjustRightInd w:val="0"/>
        <w:jc w:val="both"/>
        <w:rPr>
          <w:i/>
          <w:iCs/>
          <w:color w:val="000000" w:themeColor="text1"/>
          <w:u w:val="single"/>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These condensed quarterly consolidated financial statements include </w:t>
      </w:r>
      <w:r w:rsidR="005C02C3">
        <w:rPr>
          <w:color w:val="000000" w:themeColor="text1"/>
          <w:lang w:val="en-US"/>
        </w:rPr>
        <w:t>the financial statements of Dias</w:t>
      </w:r>
      <w:r w:rsidRPr="009C238A">
        <w:rPr>
          <w:color w:val="000000" w:themeColor="text1"/>
          <w:lang w:val="en-US"/>
        </w:rPr>
        <w:t xml:space="preserve">orin S.p.A., the Group’s Parent Company, and those of its subsidiaries. </w:t>
      </w:r>
    </w:p>
    <w:p w:rsidR="009072DB" w:rsidRPr="009C238A" w:rsidRDefault="009072DB" w:rsidP="009072DB">
      <w:pPr>
        <w:autoSpaceDE w:val="0"/>
        <w:autoSpaceDN w:val="0"/>
        <w:adjustRightInd w:val="0"/>
        <w:jc w:val="both"/>
        <w:rPr>
          <w:color w:val="000000" w:themeColor="text1"/>
          <w:lang w:val="en-US"/>
        </w:rPr>
      </w:pPr>
      <w:r w:rsidRPr="009C238A">
        <w:rPr>
          <w:color w:val="000000" w:themeColor="text1"/>
          <w:lang w:val="en-US"/>
        </w:rPr>
        <w:t>Subsidiaries are companies over which the Group is able to exercise control, i.e., it has the power to determine their operating and financial policies, so as to obtain benefits from the results of their operations.</w:t>
      </w:r>
    </w:p>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sz w:val="23"/>
          <w:szCs w:val="23"/>
          <w:lang w:val="en-US"/>
        </w:rPr>
      </w:pPr>
      <w:r w:rsidRPr="009C238A">
        <w:rPr>
          <w:sz w:val="23"/>
          <w:szCs w:val="23"/>
          <w:lang w:val="en-US"/>
        </w:rPr>
        <w:t>Subsidiaries are consolidated line by line from the date the Group obtains control until the moment when control ceases to exist. Dormant subsidiaries and subsidiaries that generate an insignificant volume of business are not consolidated. Their impact on the Group’s total assets and liabilities, cash flow and bottom-line result is not material.</w:t>
      </w: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r w:rsidRPr="009C238A">
        <w:rPr>
          <w:sz w:val="23"/>
          <w:szCs w:val="23"/>
          <w:lang w:val="en-US"/>
        </w:rPr>
        <w:t>Starting from July 1, 2013 Diasorin Switzerland has been integrally consolidated and, though it has been established during the first six months of 2013, it started to be effective in the third quarter 2013</w:t>
      </w:r>
      <w:r w:rsidR="005C02C3">
        <w:rPr>
          <w:sz w:val="23"/>
          <w:szCs w:val="23"/>
          <w:lang w:val="en-US"/>
        </w:rPr>
        <w:t>.</w:t>
      </w:r>
    </w:p>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sz w:val="23"/>
          <w:szCs w:val="23"/>
          <w:lang w:val="en-US"/>
        </w:rPr>
      </w:pPr>
      <w:r w:rsidRPr="009C238A">
        <w:rPr>
          <w:sz w:val="23"/>
          <w:szCs w:val="23"/>
          <w:lang w:val="en-US"/>
        </w:rPr>
        <w:t>A list of the subsidiaries included in the scope of consolidation, complete with information about head office locations and the percentage interest held by the Group, is provided in Annex I.</w:t>
      </w:r>
    </w:p>
    <w:p w:rsidR="009072DB" w:rsidRPr="009C238A" w:rsidRDefault="009072DB" w:rsidP="009072DB">
      <w:pPr>
        <w:autoSpaceDE w:val="0"/>
        <w:autoSpaceDN w:val="0"/>
        <w:adjustRightInd w:val="0"/>
        <w:jc w:val="both"/>
        <w:rPr>
          <w:lang w:val="en-US"/>
        </w:rPr>
      </w:pPr>
    </w:p>
    <w:p w:rsidR="009072DB" w:rsidRDefault="009072DB" w:rsidP="009072DB">
      <w:pPr>
        <w:autoSpaceDE w:val="0"/>
        <w:autoSpaceDN w:val="0"/>
        <w:adjustRightInd w:val="0"/>
        <w:jc w:val="both"/>
        <w:rPr>
          <w:lang w:val="en-US"/>
        </w:rPr>
      </w:pPr>
    </w:p>
    <w:p w:rsidR="00E06A1C" w:rsidRPr="009C238A" w:rsidRDefault="00E06A1C"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i/>
          <w:iCs/>
          <w:sz w:val="23"/>
          <w:szCs w:val="23"/>
          <w:u w:val="single"/>
          <w:lang w:val="en-US"/>
        </w:rPr>
      </w:pPr>
      <w:r w:rsidRPr="009C238A">
        <w:rPr>
          <w:i/>
          <w:iCs/>
          <w:sz w:val="23"/>
          <w:szCs w:val="23"/>
          <w:u w:val="single"/>
          <w:lang w:val="en-US"/>
        </w:rPr>
        <w:t>Other information</w:t>
      </w:r>
    </w:p>
    <w:p w:rsidR="009072DB" w:rsidRPr="009C238A" w:rsidRDefault="009072DB" w:rsidP="009072DB">
      <w:pPr>
        <w:autoSpaceDE w:val="0"/>
        <w:autoSpaceDN w:val="0"/>
        <w:adjustRightInd w:val="0"/>
        <w:jc w:val="both"/>
        <w:rPr>
          <w:rFonts w:ascii="Arial" w:eastAsia="Batang" w:hAnsi="Arial" w:cs="Arial"/>
          <w:b/>
          <w:bCs/>
          <w:color w:val="33339B"/>
          <w:u w:val="single"/>
          <w:lang w:val="en-US" w:eastAsia="ko-KR"/>
        </w:rPr>
      </w:pPr>
    </w:p>
    <w:p w:rsidR="009072DB" w:rsidRPr="009C238A" w:rsidRDefault="009072DB" w:rsidP="009072DB">
      <w:pPr>
        <w:autoSpaceDE w:val="0"/>
        <w:autoSpaceDN w:val="0"/>
        <w:adjustRightInd w:val="0"/>
        <w:jc w:val="both"/>
        <w:rPr>
          <w:sz w:val="23"/>
          <w:szCs w:val="23"/>
          <w:lang w:val="en-US"/>
        </w:rPr>
      </w:pPr>
      <w:r w:rsidRPr="009C238A">
        <w:rPr>
          <w:sz w:val="23"/>
          <w:szCs w:val="23"/>
          <w:lang w:val="en-US"/>
        </w:rPr>
        <w:t>Information about significant events occurring after September 30, 2013, the Group’s business outlook and its transactions with related parties is provided in separate sections of this quarterly report.</w:t>
      </w: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sz w:val="23"/>
          <w:szCs w:val="23"/>
          <w:lang w:val="en-US"/>
        </w:rPr>
      </w:pPr>
    </w:p>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sz w:val="23"/>
          <w:szCs w:val="23"/>
          <w:lang w:val="en-US"/>
        </w:rPr>
      </w:pPr>
      <w:r w:rsidRPr="009C238A">
        <w:rPr>
          <w:sz w:val="23"/>
          <w:szCs w:val="23"/>
          <w:lang w:val="en-US"/>
        </w:rPr>
        <w:t>The table below shows the exchange rates used to translate amounts reported by companies that operate outside the euro zone:</w:t>
      </w:r>
    </w:p>
    <w:p w:rsidR="009072DB" w:rsidRPr="009C238A" w:rsidRDefault="009072DB" w:rsidP="009072DB">
      <w:pPr>
        <w:autoSpaceDE w:val="0"/>
        <w:autoSpaceDN w:val="0"/>
        <w:adjustRightInd w:val="0"/>
        <w:jc w:val="both"/>
        <w:rPr>
          <w:lang w:val="en-US"/>
        </w:rPr>
      </w:pPr>
    </w:p>
    <w:tbl>
      <w:tblPr>
        <w:tblW w:w="5373" w:type="pct"/>
        <w:tblCellMar>
          <w:left w:w="70" w:type="dxa"/>
          <w:right w:w="70" w:type="dxa"/>
        </w:tblCellMar>
        <w:tblLook w:val="04A0"/>
      </w:tblPr>
      <w:tblGrid>
        <w:gridCol w:w="1522"/>
        <w:gridCol w:w="1671"/>
        <w:gridCol w:w="1740"/>
        <w:gridCol w:w="1747"/>
        <w:gridCol w:w="1612"/>
        <w:gridCol w:w="950"/>
        <w:gridCol w:w="1267"/>
      </w:tblGrid>
      <w:tr w:rsidR="009072DB" w:rsidRPr="009C238A" w:rsidTr="009072DB">
        <w:trPr>
          <w:trHeight w:val="601"/>
        </w:trPr>
        <w:tc>
          <w:tcPr>
            <w:tcW w:w="724" w:type="pct"/>
            <w:tcBorders>
              <w:top w:val="single" w:sz="4" w:space="0" w:color="auto"/>
              <w:left w:val="nil"/>
              <w:bottom w:val="nil"/>
              <w:right w:val="nil"/>
            </w:tcBorders>
            <w:shd w:val="clear" w:color="000000" w:fill="FFFFFF"/>
            <w:noWrap/>
            <w:vAlign w:val="bottom"/>
            <w:hideMark/>
          </w:tcPr>
          <w:p w:rsidR="009072DB" w:rsidRPr="009C238A" w:rsidRDefault="009072DB" w:rsidP="009072DB">
            <w:pPr>
              <w:jc w:val="center"/>
              <w:rPr>
                <w:b/>
                <w:bCs/>
                <w:sz w:val="18"/>
                <w:szCs w:val="18"/>
                <w:lang w:val="en-US"/>
              </w:rPr>
            </w:pPr>
            <w:r w:rsidRPr="009C238A">
              <w:rPr>
                <w:b/>
                <w:bCs/>
                <w:color w:val="000000"/>
                <w:sz w:val="18"/>
                <w:szCs w:val="18"/>
                <w:lang w:val="en-US"/>
              </w:rPr>
              <w:t>Currency</w:t>
            </w:r>
          </w:p>
        </w:tc>
        <w:tc>
          <w:tcPr>
            <w:tcW w:w="1623" w:type="pct"/>
            <w:gridSpan w:val="2"/>
            <w:tcBorders>
              <w:top w:val="single" w:sz="4" w:space="0" w:color="auto"/>
              <w:left w:val="nil"/>
              <w:bottom w:val="single" w:sz="4" w:space="0" w:color="auto"/>
              <w:right w:val="nil"/>
            </w:tcBorders>
            <w:shd w:val="clear" w:color="000000" w:fill="FFFFFF"/>
            <w:noWrap/>
            <w:vAlign w:val="bottom"/>
            <w:hideMark/>
          </w:tcPr>
          <w:p w:rsidR="009072DB" w:rsidRPr="009C238A" w:rsidRDefault="005C02C3" w:rsidP="00E06A1C">
            <w:pPr>
              <w:jc w:val="center"/>
              <w:rPr>
                <w:b/>
                <w:bCs/>
                <w:sz w:val="18"/>
                <w:szCs w:val="18"/>
                <w:lang w:val="en-US"/>
              </w:rPr>
            </w:pPr>
            <w:r>
              <w:rPr>
                <w:b/>
                <w:bCs/>
                <w:sz w:val="18"/>
                <w:szCs w:val="18"/>
                <w:lang w:val="en-US"/>
              </w:rPr>
              <w:t xml:space="preserve">Average rates </w:t>
            </w:r>
            <w:r w:rsidR="00E06A1C">
              <w:rPr>
                <w:b/>
                <w:bCs/>
                <w:sz w:val="18"/>
                <w:szCs w:val="18"/>
                <w:lang w:val="en-US"/>
              </w:rPr>
              <w:t>third quarter</w:t>
            </w:r>
          </w:p>
        </w:tc>
        <w:tc>
          <w:tcPr>
            <w:tcW w:w="1598" w:type="pct"/>
            <w:gridSpan w:val="2"/>
            <w:tcBorders>
              <w:top w:val="single" w:sz="4" w:space="0" w:color="auto"/>
              <w:left w:val="nil"/>
              <w:bottom w:val="single" w:sz="4" w:space="0" w:color="auto"/>
              <w:right w:val="nil"/>
            </w:tcBorders>
            <w:shd w:val="clear" w:color="000000" w:fill="FFFFFF"/>
            <w:noWrap/>
            <w:vAlign w:val="bottom"/>
            <w:hideMark/>
          </w:tcPr>
          <w:p w:rsidR="009072DB" w:rsidRPr="009C238A" w:rsidRDefault="009072DB" w:rsidP="00E06A1C">
            <w:pPr>
              <w:jc w:val="center"/>
              <w:rPr>
                <w:b/>
                <w:bCs/>
                <w:sz w:val="18"/>
                <w:szCs w:val="18"/>
                <w:lang w:val="en-US"/>
              </w:rPr>
            </w:pPr>
            <w:r w:rsidRPr="009C238A">
              <w:rPr>
                <w:b/>
                <w:bCs/>
                <w:sz w:val="18"/>
                <w:szCs w:val="18"/>
                <w:lang w:val="en-US"/>
              </w:rPr>
              <w:t>Average rates first nine months</w:t>
            </w:r>
          </w:p>
        </w:tc>
        <w:tc>
          <w:tcPr>
            <w:tcW w:w="1055" w:type="pct"/>
            <w:gridSpan w:val="2"/>
            <w:tcBorders>
              <w:top w:val="single" w:sz="4" w:space="0" w:color="auto"/>
              <w:left w:val="nil"/>
              <w:bottom w:val="single" w:sz="4" w:space="0" w:color="auto"/>
              <w:right w:val="nil"/>
            </w:tcBorders>
            <w:shd w:val="clear" w:color="000000" w:fill="FFFFFF"/>
            <w:noWrap/>
            <w:vAlign w:val="bottom"/>
            <w:hideMark/>
          </w:tcPr>
          <w:p w:rsidR="009072DB" w:rsidRPr="009C238A" w:rsidRDefault="009072DB" w:rsidP="00E06A1C">
            <w:pPr>
              <w:jc w:val="center"/>
              <w:rPr>
                <w:b/>
                <w:bCs/>
                <w:sz w:val="18"/>
                <w:szCs w:val="18"/>
                <w:lang w:val="en-US"/>
              </w:rPr>
            </w:pPr>
            <w:r w:rsidRPr="009C238A">
              <w:rPr>
                <w:b/>
                <w:bCs/>
                <w:sz w:val="18"/>
                <w:szCs w:val="18"/>
                <w:lang w:val="en-US"/>
              </w:rPr>
              <w:t>Rates at 9.30</w:t>
            </w:r>
          </w:p>
        </w:tc>
      </w:tr>
      <w:tr w:rsidR="009072DB" w:rsidRPr="009C238A" w:rsidTr="009072DB">
        <w:trPr>
          <w:trHeight w:val="255"/>
        </w:trPr>
        <w:tc>
          <w:tcPr>
            <w:tcW w:w="724" w:type="pct"/>
            <w:tcBorders>
              <w:top w:val="nil"/>
              <w:left w:val="nil"/>
              <w:bottom w:val="single" w:sz="4" w:space="0" w:color="auto"/>
              <w:right w:val="nil"/>
            </w:tcBorders>
            <w:shd w:val="clear" w:color="000000" w:fill="FFFFFF"/>
            <w:noWrap/>
            <w:vAlign w:val="bottom"/>
            <w:hideMark/>
          </w:tcPr>
          <w:p w:rsidR="009072DB" w:rsidRPr="009C238A" w:rsidRDefault="009072DB" w:rsidP="009072DB">
            <w:pPr>
              <w:rPr>
                <w:b/>
                <w:bCs/>
                <w:sz w:val="18"/>
                <w:szCs w:val="18"/>
                <w:lang w:val="en-US"/>
              </w:rPr>
            </w:pPr>
            <w:r w:rsidRPr="009C238A">
              <w:rPr>
                <w:b/>
                <w:bCs/>
                <w:sz w:val="18"/>
                <w:szCs w:val="18"/>
                <w:lang w:val="en-US"/>
              </w:rPr>
              <w:t> </w:t>
            </w:r>
          </w:p>
        </w:tc>
        <w:tc>
          <w:tcPr>
            <w:tcW w:w="795" w:type="pct"/>
            <w:tcBorders>
              <w:top w:val="single" w:sz="4" w:space="0" w:color="auto"/>
              <w:left w:val="nil"/>
              <w:bottom w:val="single" w:sz="4" w:space="0" w:color="auto"/>
              <w:right w:val="nil"/>
            </w:tcBorders>
            <w:shd w:val="clear" w:color="000000" w:fill="FFFFFF"/>
            <w:noWrap/>
            <w:vAlign w:val="bottom"/>
            <w:hideMark/>
          </w:tcPr>
          <w:p w:rsidR="009072DB" w:rsidRPr="009C238A" w:rsidRDefault="009072DB" w:rsidP="00E06A1C">
            <w:pPr>
              <w:jc w:val="right"/>
              <w:rPr>
                <w:b/>
                <w:bCs/>
                <w:sz w:val="18"/>
                <w:szCs w:val="18"/>
                <w:lang w:val="en-US"/>
              </w:rPr>
            </w:pPr>
            <w:r w:rsidRPr="009C238A">
              <w:rPr>
                <w:b/>
                <w:bCs/>
                <w:sz w:val="18"/>
                <w:szCs w:val="18"/>
                <w:lang w:val="en-US"/>
              </w:rPr>
              <w:t>2013</w:t>
            </w:r>
          </w:p>
        </w:tc>
        <w:tc>
          <w:tcPr>
            <w:tcW w:w="828" w:type="pct"/>
            <w:tcBorders>
              <w:top w:val="single" w:sz="4" w:space="0" w:color="auto"/>
              <w:left w:val="nil"/>
              <w:bottom w:val="single" w:sz="4" w:space="0" w:color="auto"/>
              <w:right w:val="nil"/>
            </w:tcBorders>
            <w:shd w:val="clear" w:color="000000" w:fill="FFFFFF"/>
            <w:noWrap/>
            <w:vAlign w:val="bottom"/>
            <w:hideMark/>
          </w:tcPr>
          <w:p w:rsidR="009072DB" w:rsidRPr="009C238A" w:rsidRDefault="009072DB" w:rsidP="00E06A1C">
            <w:pPr>
              <w:ind w:left="-72"/>
              <w:jc w:val="right"/>
              <w:rPr>
                <w:b/>
                <w:bCs/>
                <w:sz w:val="18"/>
                <w:szCs w:val="18"/>
                <w:lang w:val="en-US"/>
              </w:rPr>
            </w:pPr>
            <w:r w:rsidRPr="009C238A">
              <w:rPr>
                <w:b/>
                <w:bCs/>
                <w:sz w:val="18"/>
                <w:szCs w:val="18"/>
                <w:lang w:val="en-US"/>
              </w:rPr>
              <w:t>2012</w:t>
            </w:r>
          </w:p>
        </w:tc>
        <w:tc>
          <w:tcPr>
            <w:tcW w:w="831" w:type="pct"/>
            <w:tcBorders>
              <w:top w:val="single" w:sz="4" w:space="0" w:color="auto"/>
              <w:left w:val="nil"/>
              <w:bottom w:val="single" w:sz="4" w:space="0" w:color="auto"/>
              <w:right w:val="nil"/>
            </w:tcBorders>
            <w:shd w:val="clear" w:color="000000" w:fill="FFFFFF"/>
            <w:noWrap/>
            <w:vAlign w:val="bottom"/>
            <w:hideMark/>
          </w:tcPr>
          <w:p w:rsidR="009072DB" w:rsidRPr="009C238A" w:rsidRDefault="009072DB" w:rsidP="00E06A1C">
            <w:pPr>
              <w:jc w:val="right"/>
              <w:rPr>
                <w:b/>
                <w:bCs/>
                <w:sz w:val="18"/>
                <w:szCs w:val="18"/>
                <w:lang w:val="en-US"/>
              </w:rPr>
            </w:pPr>
            <w:r w:rsidRPr="009C238A">
              <w:rPr>
                <w:b/>
                <w:bCs/>
                <w:sz w:val="18"/>
                <w:szCs w:val="18"/>
                <w:lang w:val="en-US"/>
              </w:rPr>
              <w:t xml:space="preserve">                   2013</w:t>
            </w:r>
          </w:p>
        </w:tc>
        <w:tc>
          <w:tcPr>
            <w:tcW w:w="767" w:type="pct"/>
            <w:tcBorders>
              <w:top w:val="single" w:sz="4" w:space="0" w:color="auto"/>
              <w:left w:val="nil"/>
              <w:bottom w:val="single" w:sz="4" w:space="0" w:color="auto"/>
              <w:right w:val="nil"/>
            </w:tcBorders>
            <w:shd w:val="clear" w:color="000000" w:fill="FFFFFF"/>
            <w:noWrap/>
            <w:vAlign w:val="bottom"/>
            <w:hideMark/>
          </w:tcPr>
          <w:p w:rsidR="009072DB" w:rsidRPr="009C238A" w:rsidRDefault="009072DB" w:rsidP="00E06A1C">
            <w:pPr>
              <w:jc w:val="right"/>
              <w:rPr>
                <w:b/>
                <w:bCs/>
                <w:sz w:val="18"/>
                <w:szCs w:val="18"/>
                <w:lang w:val="en-US"/>
              </w:rPr>
            </w:pPr>
            <w:r w:rsidRPr="009C238A">
              <w:rPr>
                <w:b/>
                <w:bCs/>
                <w:sz w:val="18"/>
                <w:szCs w:val="18"/>
                <w:lang w:val="en-US"/>
              </w:rPr>
              <w:t xml:space="preserve">              2012</w:t>
            </w:r>
          </w:p>
        </w:tc>
        <w:tc>
          <w:tcPr>
            <w:tcW w:w="452" w:type="pct"/>
            <w:tcBorders>
              <w:top w:val="single" w:sz="4" w:space="0" w:color="auto"/>
              <w:left w:val="nil"/>
              <w:bottom w:val="single" w:sz="4" w:space="0" w:color="auto"/>
              <w:right w:val="nil"/>
            </w:tcBorders>
            <w:shd w:val="clear" w:color="000000" w:fill="FFFFFF"/>
            <w:noWrap/>
            <w:vAlign w:val="bottom"/>
            <w:hideMark/>
          </w:tcPr>
          <w:p w:rsidR="009072DB" w:rsidRPr="009C238A" w:rsidRDefault="009072DB" w:rsidP="00E06A1C">
            <w:pPr>
              <w:jc w:val="right"/>
              <w:rPr>
                <w:b/>
                <w:bCs/>
                <w:sz w:val="18"/>
                <w:szCs w:val="18"/>
                <w:lang w:val="en-US"/>
              </w:rPr>
            </w:pPr>
            <w:r w:rsidRPr="009C238A">
              <w:rPr>
                <w:b/>
                <w:bCs/>
                <w:sz w:val="18"/>
                <w:szCs w:val="18"/>
                <w:lang w:val="en-US"/>
              </w:rPr>
              <w:t xml:space="preserve">  2013</w:t>
            </w:r>
          </w:p>
        </w:tc>
        <w:tc>
          <w:tcPr>
            <w:tcW w:w="603" w:type="pct"/>
            <w:tcBorders>
              <w:top w:val="single" w:sz="4" w:space="0" w:color="auto"/>
              <w:left w:val="nil"/>
              <w:bottom w:val="single" w:sz="4" w:space="0" w:color="auto"/>
              <w:right w:val="nil"/>
            </w:tcBorders>
            <w:shd w:val="clear" w:color="000000" w:fill="FFFFFF"/>
            <w:noWrap/>
            <w:vAlign w:val="bottom"/>
            <w:hideMark/>
          </w:tcPr>
          <w:p w:rsidR="009072DB" w:rsidRPr="009C238A" w:rsidRDefault="009072DB" w:rsidP="00E06A1C">
            <w:pPr>
              <w:jc w:val="right"/>
              <w:rPr>
                <w:b/>
                <w:bCs/>
                <w:sz w:val="18"/>
                <w:szCs w:val="18"/>
                <w:lang w:val="en-US"/>
              </w:rPr>
            </w:pPr>
            <w:r w:rsidRPr="009C238A">
              <w:rPr>
                <w:b/>
                <w:bCs/>
                <w:sz w:val="18"/>
                <w:szCs w:val="18"/>
                <w:lang w:val="en-US"/>
              </w:rPr>
              <w:t>2012</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sz w:val="18"/>
                <w:szCs w:val="18"/>
                <w:lang w:val="en-US"/>
              </w:rPr>
              <w:t> </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sz w:val="18"/>
                <w:szCs w:val="18"/>
                <w:lang w:val="en-US"/>
              </w:rPr>
              <w:t>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sz w:val="18"/>
                <w:szCs w:val="18"/>
                <w:lang w:val="en-US"/>
              </w:rPr>
              <w:t>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sz w:val="18"/>
                <w:szCs w:val="18"/>
                <w:lang w:val="en-US"/>
              </w:rPr>
              <w:t>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sz w:val="18"/>
                <w:szCs w:val="18"/>
                <w:lang w:val="en-US"/>
              </w:rPr>
              <w:t>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U.S. dollar</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1.3242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1.2502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1.3171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1.2808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1.3505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1.2930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Brazilian real</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3.0304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2.5359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2.7934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2.4555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3.0406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2.6232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British pound</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0.8545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0.7915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0.8521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0.8120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0.8361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0.7981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Swedish kronor</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8.6798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8.4354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8.5825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8.7311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8.6575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8.4498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Czech koruna</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25.8527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25.0822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25.7524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25.1431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25.7300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25.1410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Canadian dollar</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1.3760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1.2447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w:t>
            </w:r>
            <w:r w:rsidR="005C02C3">
              <w:rPr>
                <w:sz w:val="18"/>
                <w:szCs w:val="18"/>
                <w:lang w:val="en-US"/>
              </w:rPr>
              <w:t xml:space="preserve">       1.3</w:t>
            </w:r>
            <w:r w:rsidRPr="009C238A">
              <w:rPr>
                <w:sz w:val="18"/>
                <w:szCs w:val="18"/>
                <w:lang w:val="en-US"/>
              </w:rPr>
              <w:t xml:space="preserve">486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1.2839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1.3912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1.2684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Mexican peso</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17.1005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16.4690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16.7064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16.9437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17.8462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16.6086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Israeli shekel</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4.7459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4.9819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4.7932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4.9430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4.7734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5.0603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Chinese Yuan</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8.1111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7.9410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8.1225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8.1058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8.2645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8.1261 </w:t>
            </w:r>
          </w:p>
        </w:tc>
      </w:tr>
      <w:tr w:rsidR="009072DB" w:rsidRPr="009C238A" w:rsidTr="009072DB">
        <w:trPr>
          <w:trHeight w:val="255"/>
        </w:trPr>
        <w:tc>
          <w:tcPr>
            <w:tcW w:w="724" w:type="pct"/>
            <w:tcBorders>
              <w:top w:val="nil"/>
              <w:left w:val="nil"/>
              <w:bottom w:val="nil"/>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Australian dollar</w:t>
            </w:r>
          </w:p>
        </w:tc>
        <w:tc>
          <w:tcPr>
            <w:tcW w:w="795"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1.4465 </w:t>
            </w:r>
          </w:p>
        </w:tc>
        <w:tc>
          <w:tcPr>
            <w:tcW w:w="828"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1.2035 </w:t>
            </w:r>
          </w:p>
        </w:tc>
        <w:tc>
          <w:tcPr>
            <w:tcW w:w="831"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1.3480 </w:t>
            </w:r>
          </w:p>
        </w:tc>
        <w:tc>
          <w:tcPr>
            <w:tcW w:w="767" w:type="pct"/>
            <w:tcBorders>
              <w:top w:val="nil"/>
              <w:left w:val="nil"/>
              <w:bottom w:val="nil"/>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1.2381 </w:t>
            </w:r>
          </w:p>
        </w:tc>
        <w:tc>
          <w:tcPr>
            <w:tcW w:w="452"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1.4486 </w:t>
            </w:r>
          </w:p>
        </w:tc>
        <w:tc>
          <w:tcPr>
            <w:tcW w:w="603" w:type="pct"/>
            <w:tcBorders>
              <w:top w:val="nil"/>
              <w:left w:val="nil"/>
              <w:bottom w:val="nil"/>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1.2396 </w:t>
            </w:r>
          </w:p>
        </w:tc>
      </w:tr>
      <w:tr w:rsidR="009072DB" w:rsidRPr="009C238A" w:rsidTr="009072DB">
        <w:trPr>
          <w:trHeight w:val="255"/>
        </w:trPr>
        <w:tc>
          <w:tcPr>
            <w:tcW w:w="724" w:type="pct"/>
            <w:tcBorders>
              <w:top w:val="nil"/>
              <w:left w:val="nil"/>
              <w:bottom w:val="single" w:sz="4" w:space="0" w:color="auto"/>
              <w:right w:val="nil"/>
            </w:tcBorders>
            <w:shd w:val="clear" w:color="000000" w:fill="FFFFFF"/>
            <w:noWrap/>
            <w:vAlign w:val="bottom"/>
            <w:hideMark/>
          </w:tcPr>
          <w:p w:rsidR="009072DB" w:rsidRPr="009C238A" w:rsidRDefault="009072DB" w:rsidP="009072DB">
            <w:pPr>
              <w:rPr>
                <w:sz w:val="18"/>
                <w:szCs w:val="18"/>
                <w:lang w:val="en-US"/>
              </w:rPr>
            </w:pPr>
            <w:r w:rsidRPr="009C238A">
              <w:rPr>
                <w:color w:val="000000"/>
                <w:sz w:val="18"/>
                <w:szCs w:val="18"/>
                <w:lang w:val="en-US"/>
              </w:rPr>
              <w:t>South African rand</w:t>
            </w:r>
          </w:p>
        </w:tc>
        <w:tc>
          <w:tcPr>
            <w:tcW w:w="795" w:type="pct"/>
            <w:tcBorders>
              <w:top w:val="nil"/>
              <w:left w:val="nil"/>
              <w:bottom w:val="single" w:sz="4" w:space="0" w:color="auto"/>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13.2329 </w:t>
            </w:r>
          </w:p>
        </w:tc>
        <w:tc>
          <w:tcPr>
            <w:tcW w:w="828" w:type="pct"/>
            <w:tcBorders>
              <w:top w:val="nil"/>
              <w:left w:val="nil"/>
              <w:bottom w:val="single" w:sz="4" w:space="0" w:color="auto"/>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10.3385 </w:t>
            </w:r>
          </w:p>
        </w:tc>
        <w:tc>
          <w:tcPr>
            <w:tcW w:w="831" w:type="pct"/>
            <w:tcBorders>
              <w:top w:val="nil"/>
              <w:left w:val="nil"/>
              <w:bottom w:val="single" w:sz="4" w:space="0" w:color="auto"/>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12.5015 </w:t>
            </w:r>
          </w:p>
        </w:tc>
        <w:tc>
          <w:tcPr>
            <w:tcW w:w="767" w:type="pct"/>
            <w:tcBorders>
              <w:top w:val="nil"/>
              <w:left w:val="nil"/>
              <w:bottom w:val="single" w:sz="4" w:space="0" w:color="auto"/>
              <w:right w:val="nil"/>
            </w:tcBorders>
            <w:shd w:val="clear" w:color="000000" w:fill="FFFFFF"/>
            <w:noWrap/>
            <w:vAlign w:val="bottom"/>
            <w:hideMark/>
          </w:tcPr>
          <w:p w:rsidR="009072DB" w:rsidRPr="009C238A" w:rsidRDefault="009072DB" w:rsidP="009072DB">
            <w:pPr>
              <w:jc w:val="right"/>
              <w:rPr>
                <w:sz w:val="18"/>
                <w:szCs w:val="18"/>
                <w:lang w:val="en-US"/>
              </w:rPr>
            </w:pPr>
            <w:r w:rsidRPr="009C238A">
              <w:rPr>
                <w:sz w:val="18"/>
                <w:szCs w:val="18"/>
                <w:lang w:val="en-US"/>
              </w:rPr>
              <w:t xml:space="preserve">                   10.3092 </w:t>
            </w:r>
          </w:p>
        </w:tc>
        <w:tc>
          <w:tcPr>
            <w:tcW w:w="452" w:type="pct"/>
            <w:tcBorders>
              <w:top w:val="nil"/>
              <w:left w:val="nil"/>
              <w:bottom w:val="single" w:sz="4" w:space="0" w:color="auto"/>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13.5985 </w:t>
            </w:r>
          </w:p>
        </w:tc>
        <w:tc>
          <w:tcPr>
            <w:tcW w:w="603" w:type="pct"/>
            <w:tcBorders>
              <w:top w:val="nil"/>
              <w:left w:val="nil"/>
              <w:bottom w:val="single" w:sz="4" w:space="0" w:color="auto"/>
              <w:right w:val="nil"/>
            </w:tcBorders>
            <w:shd w:val="clear" w:color="000000" w:fill="FFFFFF"/>
            <w:noWrap/>
            <w:vAlign w:val="bottom"/>
            <w:hideMark/>
          </w:tcPr>
          <w:p w:rsidR="009072DB" w:rsidRPr="009C238A" w:rsidRDefault="009072DB" w:rsidP="00E06A1C">
            <w:pPr>
              <w:jc w:val="right"/>
              <w:rPr>
                <w:sz w:val="18"/>
                <w:szCs w:val="18"/>
                <w:lang w:val="en-US"/>
              </w:rPr>
            </w:pPr>
            <w:r w:rsidRPr="009C238A">
              <w:rPr>
                <w:sz w:val="18"/>
                <w:szCs w:val="18"/>
                <w:lang w:val="en-US"/>
              </w:rPr>
              <w:t xml:space="preserve">            10.7125 </w:t>
            </w:r>
          </w:p>
        </w:tc>
      </w:tr>
    </w:tbl>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lang w:val="en-US"/>
        </w:rPr>
      </w:pPr>
    </w:p>
    <w:p w:rsidR="009072DB" w:rsidRPr="009C238A" w:rsidRDefault="009072DB" w:rsidP="009072DB">
      <w:pPr>
        <w:autoSpaceDE w:val="0"/>
        <w:autoSpaceDN w:val="0"/>
        <w:adjustRightInd w:val="0"/>
        <w:jc w:val="both"/>
        <w:rPr>
          <w:highlight w:val="yellow"/>
          <w:lang w:val="en-US"/>
        </w:rPr>
      </w:pPr>
      <w:r w:rsidRPr="009C238A">
        <w:rPr>
          <w:highlight w:val="yellow"/>
          <w:lang w:val="en-US"/>
        </w:rPr>
        <w:br w:type="page"/>
      </w:r>
    </w:p>
    <w:p w:rsidR="009072DB" w:rsidRPr="00F60982" w:rsidRDefault="009072DB" w:rsidP="009072DB">
      <w:pPr>
        <w:autoSpaceDE w:val="0"/>
        <w:autoSpaceDN w:val="0"/>
        <w:adjustRightInd w:val="0"/>
        <w:jc w:val="both"/>
        <w:rPr>
          <w:b/>
          <w:bCs/>
          <w:smallCaps/>
          <w:color w:val="000000" w:themeColor="text1"/>
          <w:sz w:val="20"/>
          <w:szCs w:val="20"/>
          <w:lang w:val="en-US"/>
        </w:rPr>
      </w:pPr>
      <w:r w:rsidRPr="00F60982">
        <w:rPr>
          <w:b/>
          <w:bCs/>
          <w:smallCaps/>
          <w:sz w:val="20"/>
          <w:szCs w:val="20"/>
          <w:lang w:val="en-US"/>
        </w:rPr>
        <w:t xml:space="preserve"> </w:t>
      </w:r>
      <w:r w:rsidRPr="00F60982">
        <w:rPr>
          <w:b/>
          <w:bCs/>
          <w:color w:val="000000" w:themeColor="text1"/>
          <w:sz w:val="20"/>
          <w:szCs w:val="20"/>
          <w:lang w:val="en-US"/>
        </w:rPr>
        <w:t>OPERATING SEGMENTS</w:t>
      </w:r>
    </w:p>
    <w:p w:rsidR="009072DB" w:rsidRPr="009C238A" w:rsidRDefault="009072DB" w:rsidP="009072DB">
      <w:pPr>
        <w:autoSpaceDE w:val="0"/>
        <w:autoSpaceDN w:val="0"/>
        <w:adjustRightInd w:val="0"/>
        <w:jc w:val="both"/>
        <w:rPr>
          <w:b/>
          <w:bCs/>
          <w:smallCaps/>
          <w:lang w:val="en-US"/>
        </w:rPr>
      </w:pPr>
    </w:p>
    <w:p w:rsidR="009072DB" w:rsidRPr="009C238A" w:rsidRDefault="009072DB" w:rsidP="009072DB">
      <w:pPr>
        <w:jc w:val="both"/>
        <w:rPr>
          <w:b/>
          <w:bCs/>
          <w:smallCaps/>
          <w:highlight w:val="yellow"/>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As required by IFRS 8, the Company designated the geographic regions where it operates as its operating segments. </w:t>
      </w:r>
    </w:p>
    <w:p w:rsidR="009072DB" w:rsidRPr="009C238A" w:rsidRDefault="009072DB" w:rsidP="009072DB">
      <w:pPr>
        <w:jc w:val="both"/>
        <w:rPr>
          <w:iCs/>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The Group’s organization and internal management structure and its reporting system identify the following segments: Italy and UK Branch, Europe (Germany, France, Belgium and the Netherlands, Spain and Portugal, Ireland, Austria, Switzerland, Great Britain, Scandinavia, Czech Republic), North America (United States and Canada) and Rest of the World (Brazil, Mexico, Israel, China, Australia and South Africa). </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jc w:val="both"/>
        <w:rPr>
          <w:color w:val="000000" w:themeColor="text1"/>
          <w:lang w:val="en-US"/>
        </w:rPr>
      </w:pPr>
      <w:r w:rsidRPr="009C238A">
        <w:rPr>
          <w:color w:val="000000" w:themeColor="text1"/>
          <w:lang w:val="en-US"/>
        </w:rPr>
        <w:t>The Group is characterized by a structure of its commercial organization based geographic regions, which was developed to address the requirements created by geographic expansion and strategic initiatives. This new organization, which was conceived to reflect the destinations of the Group’s sales, is based on the following four regions: Europe and Africa, North America, Latin America, and Asia Pacific and China.</w:t>
      </w:r>
    </w:p>
    <w:p w:rsidR="009072DB" w:rsidRPr="009C238A" w:rsidRDefault="009072DB" w:rsidP="009072DB">
      <w:pPr>
        <w:jc w:val="both"/>
        <w:rPr>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As a result, the financial data of the Diasorin Group that are being disclosed to the financial markets and the investing public now include revenue information that reflects the regional organization mentioned above. </w:t>
      </w:r>
    </w:p>
    <w:p w:rsidR="009072DB" w:rsidRPr="009C238A" w:rsidRDefault="009072DB" w:rsidP="009072DB">
      <w:pPr>
        <w:jc w:val="both"/>
        <w:rPr>
          <w:iCs/>
          <w:lang w:val="en-US"/>
        </w:rPr>
      </w:pPr>
    </w:p>
    <w:p w:rsidR="009072DB" w:rsidRPr="009C238A" w:rsidRDefault="009072DB" w:rsidP="009072DB">
      <w:pPr>
        <w:jc w:val="both"/>
        <w:rPr>
          <w:color w:val="000000" w:themeColor="text1"/>
          <w:lang w:val="en-US"/>
        </w:rPr>
      </w:pPr>
      <w:r w:rsidRPr="009C238A">
        <w:rPr>
          <w:color w:val="000000" w:themeColor="text1"/>
          <w:lang w:val="en-US"/>
        </w:rPr>
        <w:t>The schedules that follow show the Group’s operating and financial data broken down by geographic region. Information about revenues based on customer locations is provided in the Notes to the consolidated quarterly report, in the comments to the schedule showing a breakdown of net revenues by geographic region.</w:t>
      </w:r>
    </w:p>
    <w:p w:rsidR="009072DB" w:rsidRPr="009C238A" w:rsidRDefault="009072DB" w:rsidP="009072DB">
      <w:pPr>
        <w:jc w:val="both"/>
        <w:rPr>
          <w:rFonts w:ascii="Calibri" w:hAnsi="Calibri"/>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No unallocated common costs are shown in the abovementioned schedules because the operations in each country (hence, each segment) are equipped with comprehensive independent organizations (sales, technical support and accounting) fully capable of exercising their functions. Moreover, the Italy segment invoices each quarter to the other segments the costs that are incurred centrally (mainly insurance costs and costs related to the Group’s IT systems and management personnel). </w:t>
      </w:r>
    </w:p>
    <w:p w:rsidR="009072DB" w:rsidRPr="009C238A" w:rsidRDefault="009072DB" w:rsidP="009072DB">
      <w:pPr>
        <w:jc w:val="both"/>
        <w:rPr>
          <w:iCs/>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Eliminations refer mainly to inter-segment margins that are eliminated upon consolidation. Specifically, the elimination of the margin earned by the Italy segment on the sale of equipment to other segments is shown both at the result level and with regard to capital expenditures. The margins earned on products sold by manufacturing facilities to sales branches that have not yet been sold to customers are eliminated only at the result level. </w:t>
      </w:r>
    </w:p>
    <w:p w:rsidR="009072DB" w:rsidRPr="009C238A" w:rsidRDefault="009072DB" w:rsidP="009072DB">
      <w:pPr>
        <w:jc w:val="both"/>
        <w:rPr>
          <w:iCs/>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Segment assets include all items related to operations (non-current assets, receivables and inventories), but do not include tax related items (deferred-tax assets) and financial assets, which are shown at the Group level. </w:t>
      </w:r>
    </w:p>
    <w:p w:rsidR="009072DB" w:rsidRPr="009C238A" w:rsidRDefault="009072DB" w:rsidP="009072DB">
      <w:pPr>
        <w:rPr>
          <w:color w:val="000000" w:themeColor="text1"/>
          <w:lang w:val="en-US"/>
        </w:rPr>
      </w:pPr>
      <w:r w:rsidRPr="009C238A">
        <w:rPr>
          <w:color w:val="000000" w:themeColor="text1"/>
          <w:lang w:val="en-US"/>
        </w:rPr>
        <w:t>The same approach was used for segment liabilities, which include items related to operations (mainly trade payables and amounts owed to employees), but do not include financial and tax liabilities and shareholders’ equity items, which are shown at the Group level.</w:t>
      </w:r>
    </w:p>
    <w:p w:rsidR="009072DB" w:rsidRPr="009C238A" w:rsidRDefault="009072DB" w:rsidP="009072DB">
      <w:pPr>
        <w:rPr>
          <w:color w:val="000000" w:themeColor="text1"/>
          <w:lang w:val="en-US"/>
        </w:rPr>
      </w:pPr>
    </w:p>
    <w:p w:rsidR="009072DB" w:rsidRPr="009C238A" w:rsidRDefault="009072DB" w:rsidP="009072DB">
      <w:pPr>
        <w:rPr>
          <w:color w:val="000000" w:themeColor="text1"/>
          <w:lang w:val="en-US"/>
        </w:rPr>
      </w:pPr>
    </w:p>
    <w:p w:rsidR="009072DB" w:rsidRPr="009C238A" w:rsidRDefault="009072DB" w:rsidP="009072DB">
      <w:pPr>
        <w:rPr>
          <w:color w:val="000000" w:themeColor="text1"/>
          <w:lang w:val="en-US"/>
        </w:rPr>
      </w:pPr>
    </w:p>
    <w:p w:rsidR="009072DB" w:rsidRPr="009C238A" w:rsidRDefault="009072DB" w:rsidP="009072DB">
      <w:pPr>
        <w:jc w:val="both"/>
        <w:rPr>
          <w:iCs/>
          <w:lang w:val="en-US"/>
        </w:rPr>
      </w:pPr>
    </w:p>
    <w:p w:rsidR="009072DB" w:rsidRPr="009C238A" w:rsidRDefault="009072DB" w:rsidP="009072DB">
      <w:pPr>
        <w:jc w:val="both"/>
        <w:rPr>
          <w:iCs/>
          <w:lang w:val="en-US"/>
        </w:rPr>
      </w:pPr>
    </w:p>
    <w:p w:rsidR="009072DB" w:rsidRPr="009C238A" w:rsidRDefault="009072DB" w:rsidP="009072DB">
      <w:pPr>
        <w:jc w:val="both"/>
        <w:rPr>
          <w:lang w:val="en-US"/>
        </w:rPr>
        <w:sectPr w:rsidR="009072DB" w:rsidRPr="009C238A" w:rsidSect="009072DB">
          <w:headerReference w:type="default" r:id="rId20"/>
          <w:footerReference w:type="even" r:id="rId21"/>
          <w:footerReference w:type="default" r:id="rId22"/>
          <w:pgSz w:w="11907" w:h="16840"/>
          <w:pgMar w:top="1302" w:right="1134" w:bottom="1134" w:left="1134" w:header="1247" w:footer="720" w:gutter="0"/>
          <w:paperSrc w:first="7" w:other="7"/>
          <w:cols w:space="567"/>
          <w:noEndnote/>
        </w:sectPr>
      </w:pPr>
    </w:p>
    <w:p w:rsidR="009072DB" w:rsidRPr="009C238A" w:rsidRDefault="00EF4F47" w:rsidP="009072DB">
      <w:pPr>
        <w:autoSpaceDE w:val="0"/>
        <w:autoSpaceDN w:val="0"/>
        <w:adjustRightInd w:val="0"/>
        <w:jc w:val="both"/>
        <w:rPr>
          <w:b/>
          <w:bCs/>
          <w:smallCaps/>
          <w:lang w:val="en-US"/>
        </w:rPr>
      </w:pPr>
      <w:r w:rsidRPr="00EF4F47">
        <w:rPr>
          <w:noProof/>
          <w:lang w:val="en-US" w:eastAsia="en-US"/>
        </w:rPr>
        <w:drawing>
          <wp:inline distT="0" distB="0" distL="0" distR="0">
            <wp:extent cx="9145270" cy="501514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5270" cy="5015148"/>
                    </a:xfrm>
                    <a:prstGeom prst="rect">
                      <a:avLst/>
                    </a:prstGeom>
                    <a:noFill/>
                    <a:ln>
                      <a:noFill/>
                    </a:ln>
                  </pic:spPr>
                </pic:pic>
              </a:graphicData>
            </a:graphic>
          </wp:inline>
        </w:drawing>
      </w:r>
    </w:p>
    <w:p w:rsidR="009072DB" w:rsidRPr="009C238A" w:rsidRDefault="009072DB" w:rsidP="009072DB">
      <w:pPr>
        <w:autoSpaceDE w:val="0"/>
        <w:autoSpaceDN w:val="0"/>
        <w:adjustRightInd w:val="0"/>
        <w:jc w:val="both"/>
        <w:rPr>
          <w:b/>
          <w:bCs/>
          <w:smallCaps/>
          <w:lang w:val="en-US"/>
        </w:rPr>
      </w:pPr>
    </w:p>
    <w:p w:rsidR="009072DB" w:rsidRPr="009C238A" w:rsidRDefault="00EF4F47" w:rsidP="009072DB">
      <w:pPr>
        <w:autoSpaceDE w:val="0"/>
        <w:autoSpaceDN w:val="0"/>
        <w:adjustRightInd w:val="0"/>
        <w:jc w:val="both"/>
        <w:rPr>
          <w:highlight w:val="yellow"/>
          <w:lang w:val="en-US"/>
        </w:rPr>
      </w:pPr>
      <w:r w:rsidRPr="00EF4F47">
        <w:rPr>
          <w:noProof/>
          <w:lang w:val="en-US" w:eastAsia="en-US"/>
        </w:rPr>
        <w:drawing>
          <wp:inline distT="0" distB="0" distL="0" distR="0">
            <wp:extent cx="9145270" cy="93370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5270" cy="933701"/>
                    </a:xfrm>
                    <a:prstGeom prst="rect">
                      <a:avLst/>
                    </a:prstGeom>
                    <a:noFill/>
                    <a:ln>
                      <a:noFill/>
                    </a:ln>
                  </pic:spPr>
                </pic:pic>
              </a:graphicData>
            </a:graphic>
          </wp:inline>
        </w:drawing>
      </w:r>
      <w:bookmarkStart w:id="67" w:name="_GoBack"/>
      <w:bookmarkEnd w:id="67"/>
    </w:p>
    <w:p w:rsidR="009072DB" w:rsidRPr="009C238A" w:rsidRDefault="009072DB" w:rsidP="009072DB">
      <w:pPr>
        <w:rPr>
          <w:lang w:val="en-US"/>
        </w:rPr>
        <w:sectPr w:rsidR="009072DB" w:rsidRPr="009C238A" w:rsidSect="009072DB">
          <w:pgSz w:w="16840" w:h="11907" w:orient="landscape"/>
          <w:pgMar w:top="651" w:right="1304" w:bottom="326" w:left="1134" w:header="1247" w:footer="720" w:gutter="0"/>
          <w:paperSrc w:first="7" w:other="7"/>
          <w:cols w:space="567"/>
          <w:noEndnote/>
        </w:sectPr>
      </w:pPr>
    </w:p>
    <w:p w:rsidR="009072DB" w:rsidRPr="00783155" w:rsidRDefault="009072DB" w:rsidP="009072DB">
      <w:pPr>
        <w:pStyle w:val="Intestazione"/>
        <w:tabs>
          <w:tab w:val="clear" w:pos="4819"/>
          <w:tab w:val="left" w:pos="240"/>
          <w:tab w:val="center" w:pos="1843"/>
        </w:tabs>
        <w:jc w:val="both"/>
        <w:rPr>
          <w:b/>
          <w:bCs/>
          <w:lang w:val="en-US"/>
        </w:rPr>
      </w:pPr>
      <w:r w:rsidRPr="00783155">
        <w:rPr>
          <w:b/>
          <w:bCs/>
          <w:lang w:val="en-US"/>
        </w:rPr>
        <w:t>DESCRIPTION AND MAIN CHANGES</w:t>
      </w:r>
    </w:p>
    <w:p w:rsidR="009072DB" w:rsidRPr="00783155" w:rsidRDefault="009072DB" w:rsidP="009072DB">
      <w:pPr>
        <w:pStyle w:val="Intestazione"/>
        <w:tabs>
          <w:tab w:val="clear" w:pos="4819"/>
          <w:tab w:val="left" w:pos="240"/>
          <w:tab w:val="center" w:pos="1843"/>
        </w:tabs>
        <w:jc w:val="both"/>
        <w:rPr>
          <w:b/>
          <w:bCs/>
          <w:sz w:val="22"/>
          <w:szCs w:val="22"/>
          <w:lang w:val="en-US"/>
        </w:rPr>
      </w:pPr>
    </w:p>
    <w:p w:rsidR="009072DB" w:rsidRPr="00783155" w:rsidRDefault="009072DB" w:rsidP="009072DB">
      <w:pPr>
        <w:pStyle w:val="Intestazione"/>
        <w:tabs>
          <w:tab w:val="clear" w:pos="4819"/>
          <w:tab w:val="left" w:pos="0"/>
          <w:tab w:val="center" w:pos="1843"/>
        </w:tabs>
        <w:jc w:val="both"/>
        <w:rPr>
          <w:b/>
          <w:sz w:val="22"/>
          <w:szCs w:val="22"/>
          <w:u w:val="single"/>
          <w:lang w:val="en-US"/>
        </w:rPr>
      </w:pPr>
      <w:r w:rsidRPr="00783155">
        <w:rPr>
          <w:b/>
          <w:bCs/>
          <w:sz w:val="22"/>
          <w:szCs w:val="22"/>
          <w:lang w:val="en-US"/>
        </w:rPr>
        <w:t>CONSOLIDATED INCOME STATEMENT</w:t>
      </w:r>
    </w:p>
    <w:p w:rsidR="009072DB" w:rsidRPr="009C238A" w:rsidRDefault="009072DB" w:rsidP="009072DB">
      <w:pPr>
        <w:spacing w:before="240" w:line="240" w:lineRule="atLeast"/>
        <w:ind w:right="-54"/>
        <w:jc w:val="both"/>
        <w:rPr>
          <w:lang w:val="en-US"/>
        </w:rPr>
      </w:pPr>
      <w:r w:rsidRPr="009C238A">
        <w:rPr>
          <w:lang w:val="en-US"/>
        </w:rPr>
        <w:t>The notes to the consolidated income statement are provided below. More detailed information about the components of the income statement is provided in the Report on Operations</w:t>
      </w:r>
      <w:r w:rsidRPr="009C238A">
        <w:rPr>
          <w:sz w:val="23"/>
          <w:szCs w:val="23"/>
          <w:lang w:val="en-US"/>
        </w:rPr>
        <w:t>.</w:t>
      </w:r>
    </w:p>
    <w:p w:rsidR="009072DB" w:rsidRPr="009C238A" w:rsidRDefault="009072DB" w:rsidP="009072DB">
      <w:pPr>
        <w:pStyle w:val="Intestazione"/>
        <w:tabs>
          <w:tab w:val="clear" w:pos="4819"/>
          <w:tab w:val="left" w:pos="240"/>
          <w:tab w:val="center" w:pos="1843"/>
        </w:tabs>
        <w:ind w:left="120"/>
        <w:rPr>
          <w:b/>
          <w:highlight w:val="yellow"/>
          <w:lang w:val="en-US"/>
        </w:rPr>
      </w:pPr>
    </w:p>
    <w:p w:rsidR="009072DB" w:rsidRPr="009C238A" w:rsidRDefault="009072DB" w:rsidP="009072DB">
      <w:pPr>
        <w:pStyle w:val="Intestazione"/>
        <w:numPr>
          <w:ilvl w:val="0"/>
          <w:numId w:val="18"/>
        </w:numPr>
        <w:tabs>
          <w:tab w:val="clear" w:pos="4819"/>
          <w:tab w:val="left" w:pos="240"/>
          <w:tab w:val="center" w:pos="1843"/>
        </w:tabs>
        <w:ind w:left="284" w:hanging="295"/>
        <w:jc w:val="both"/>
        <w:rPr>
          <w:b/>
          <w:bCs/>
          <w:color w:val="000000" w:themeColor="text1"/>
          <w:sz w:val="23"/>
          <w:szCs w:val="23"/>
          <w:lang w:val="en-US"/>
        </w:rPr>
      </w:pPr>
      <w:r w:rsidRPr="009C238A">
        <w:rPr>
          <w:b/>
          <w:bCs/>
          <w:color w:val="000000" w:themeColor="text1"/>
          <w:sz w:val="23"/>
          <w:szCs w:val="23"/>
          <w:lang w:val="en-US"/>
        </w:rPr>
        <w:t>Net revenues</w:t>
      </w:r>
    </w:p>
    <w:p w:rsidR="009072DB" w:rsidRPr="009C238A" w:rsidRDefault="009072DB" w:rsidP="009072DB">
      <w:pPr>
        <w:pStyle w:val="Intestazione"/>
        <w:tabs>
          <w:tab w:val="clear" w:pos="4819"/>
          <w:tab w:val="left" w:pos="240"/>
          <w:tab w:val="center" w:pos="1843"/>
        </w:tabs>
        <w:ind w:left="142"/>
        <w:jc w:val="both"/>
        <w:rPr>
          <w:b/>
          <w:color w:val="000000" w:themeColor="text1"/>
          <w:lang w:val="en-US"/>
        </w:rPr>
      </w:pPr>
    </w:p>
    <w:p w:rsidR="009072DB" w:rsidRPr="009C238A" w:rsidRDefault="009072DB" w:rsidP="009072DB">
      <w:pPr>
        <w:pStyle w:val="Intestazione"/>
        <w:tabs>
          <w:tab w:val="clear" w:pos="4819"/>
          <w:tab w:val="left" w:pos="0"/>
          <w:tab w:val="center" w:pos="1843"/>
        </w:tabs>
        <w:rPr>
          <w:color w:val="000000" w:themeColor="text1"/>
          <w:sz w:val="23"/>
          <w:szCs w:val="23"/>
          <w:lang w:val="en-US"/>
        </w:rPr>
      </w:pPr>
      <w:r w:rsidRPr="009C238A">
        <w:rPr>
          <w:color w:val="000000" w:themeColor="text1"/>
          <w:sz w:val="23"/>
          <w:szCs w:val="23"/>
          <w:lang w:val="en-US"/>
        </w:rPr>
        <w:t xml:space="preserve">In the first nine months of 2013, net revenues, which are generated mainly through the sale of diagnostic kits, totaled 323,921 thousand euros, in line with data stated at September 30, 2012. </w:t>
      </w:r>
    </w:p>
    <w:p w:rsidR="009072DB" w:rsidRPr="009C238A" w:rsidRDefault="009072DB" w:rsidP="009072DB">
      <w:pPr>
        <w:pStyle w:val="Intestazione"/>
        <w:tabs>
          <w:tab w:val="clear" w:pos="4819"/>
          <w:tab w:val="left" w:pos="0"/>
          <w:tab w:val="center" w:pos="1843"/>
        </w:tabs>
        <w:rPr>
          <w:color w:val="000000" w:themeColor="text1"/>
          <w:sz w:val="23"/>
          <w:szCs w:val="23"/>
          <w:lang w:val="en-US"/>
        </w:rPr>
      </w:pPr>
    </w:p>
    <w:p w:rsidR="009072DB" w:rsidRPr="009C238A" w:rsidRDefault="009072DB" w:rsidP="009072DB">
      <w:pPr>
        <w:pStyle w:val="Intestazione"/>
        <w:tabs>
          <w:tab w:val="clear" w:pos="4819"/>
          <w:tab w:val="left" w:pos="0"/>
          <w:tab w:val="center" w:pos="1843"/>
        </w:tabs>
        <w:rPr>
          <w:lang w:val="en-US"/>
        </w:rPr>
      </w:pPr>
      <w:r w:rsidRPr="009C238A">
        <w:rPr>
          <w:color w:val="000000" w:themeColor="text1"/>
          <w:sz w:val="23"/>
          <w:szCs w:val="23"/>
          <w:lang w:val="en-US"/>
        </w:rPr>
        <w:t>Net revenues in the third q</w:t>
      </w:r>
      <w:r w:rsidR="00783155">
        <w:rPr>
          <w:color w:val="000000" w:themeColor="text1"/>
          <w:sz w:val="23"/>
          <w:szCs w:val="23"/>
          <w:lang w:val="en-US"/>
        </w:rPr>
        <w:t xml:space="preserve">uarter of 2013 totaled </w:t>
      </w:r>
      <w:r w:rsidRPr="009C238A">
        <w:rPr>
          <w:color w:val="000000" w:themeColor="text1"/>
          <w:sz w:val="23"/>
          <w:szCs w:val="23"/>
          <w:lang w:val="en-US"/>
        </w:rPr>
        <w:t>104,202 thousand euros (104,455 thousand euros in the third quarter of 2012)</w:t>
      </w:r>
      <w:r w:rsidR="00783155">
        <w:rPr>
          <w:color w:val="000000" w:themeColor="text1"/>
          <w:sz w:val="23"/>
          <w:szCs w:val="23"/>
          <w:lang w:val="en-US"/>
        </w:rPr>
        <w:t xml:space="preserve"> and</w:t>
      </w:r>
      <w:r w:rsidRPr="009C238A">
        <w:rPr>
          <w:color w:val="000000" w:themeColor="text1"/>
          <w:sz w:val="23"/>
          <w:szCs w:val="23"/>
          <w:lang w:val="en-US"/>
        </w:rPr>
        <w:t xml:space="preserve"> include 2,174 thousand euros for </w:t>
      </w:r>
      <w:r w:rsidRPr="009C238A">
        <w:rPr>
          <w:color w:val="000000" w:themeColor="text1"/>
          <w:lang w:val="en-US"/>
        </w:rPr>
        <w:t>equipment rental</w:t>
      </w:r>
      <w:r w:rsidR="00783155">
        <w:rPr>
          <w:color w:val="000000" w:themeColor="text1"/>
          <w:lang w:val="en-US"/>
        </w:rPr>
        <w:t>s and technical support</w:t>
      </w:r>
      <w:r w:rsidRPr="009C238A">
        <w:rPr>
          <w:color w:val="000000" w:themeColor="text1"/>
          <w:lang w:val="en-US"/>
        </w:rPr>
        <w:t xml:space="preserve"> (1,870 thousand euros in the same period of 2012).</w:t>
      </w:r>
    </w:p>
    <w:p w:rsidR="009072DB" w:rsidRPr="009C238A" w:rsidRDefault="009072DB" w:rsidP="009072DB">
      <w:pPr>
        <w:pStyle w:val="Intestazione"/>
        <w:tabs>
          <w:tab w:val="clear" w:pos="4819"/>
          <w:tab w:val="left" w:pos="240"/>
          <w:tab w:val="center" w:pos="1843"/>
        </w:tabs>
        <w:ind w:left="120"/>
        <w:rPr>
          <w:highlight w:val="yellow"/>
          <w:lang w:val="en-US"/>
        </w:rPr>
      </w:pPr>
    </w:p>
    <w:p w:rsidR="009072DB" w:rsidRPr="009C238A" w:rsidRDefault="009072DB" w:rsidP="009072DB">
      <w:pPr>
        <w:pStyle w:val="Intestazione"/>
        <w:tabs>
          <w:tab w:val="clear" w:pos="4819"/>
          <w:tab w:val="left" w:pos="240"/>
          <w:tab w:val="center" w:pos="1843"/>
        </w:tabs>
        <w:jc w:val="both"/>
        <w:rPr>
          <w:b/>
          <w:bCs/>
          <w:color w:val="000000" w:themeColor="text1"/>
          <w:sz w:val="23"/>
          <w:szCs w:val="23"/>
          <w:lang w:val="en-US"/>
        </w:rPr>
      </w:pPr>
      <w:r w:rsidRPr="009C238A">
        <w:rPr>
          <w:b/>
          <w:lang w:val="en-US"/>
        </w:rPr>
        <w:t xml:space="preserve">(2) </w:t>
      </w:r>
      <w:r w:rsidRPr="009C238A">
        <w:rPr>
          <w:b/>
          <w:bCs/>
          <w:color w:val="000000" w:themeColor="text1"/>
          <w:sz w:val="23"/>
          <w:szCs w:val="23"/>
          <w:lang w:val="en-US"/>
        </w:rPr>
        <w:t>Cost of sales</w:t>
      </w:r>
    </w:p>
    <w:p w:rsidR="009072DB" w:rsidRPr="009C238A" w:rsidRDefault="009072DB" w:rsidP="009072DB">
      <w:pPr>
        <w:pStyle w:val="Intestazione"/>
        <w:tabs>
          <w:tab w:val="clear" w:pos="4819"/>
          <w:tab w:val="left" w:pos="240"/>
          <w:tab w:val="center" w:pos="1843"/>
        </w:tabs>
        <w:jc w:val="both"/>
        <w:rPr>
          <w:b/>
          <w:bCs/>
          <w:color w:val="000000" w:themeColor="text1"/>
          <w:sz w:val="23"/>
          <w:szCs w:val="23"/>
          <w:lang w:val="en-US"/>
        </w:rPr>
      </w:pPr>
    </w:p>
    <w:p w:rsidR="009072DB" w:rsidRPr="009C238A" w:rsidRDefault="009072DB" w:rsidP="009072DB">
      <w:pPr>
        <w:pStyle w:val="Intestazione"/>
        <w:tabs>
          <w:tab w:val="clear" w:pos="4819"/>
          <w:tab w:val="left" w:pos="240"/>
          <w:tab w:val="center" w:pos="1843"/>
        </w:tabs>
        <w:jc w:val="both"/>
        <w:rPr>
          <w:color w:val="000000" w:themeColor="text1"/>
          <w:sz w:val="23"/>
          <w:szCs w:val="23"/>
          <w:lang w:val="en-US"/>
        </w:rPr>
      </w:pPr>
      <w:r w:rsidRPr="009C238A">
        <w:rPr>
          <w:color w:val="000000" w:themeColor="text1"/>
          <w:sz w:val="23"/>
          <w:szCs w:val="23"/>
          <w:lang w:val="en-US"/>
        </w:rPr>
        <w:t>In the third quarter of 2013, the cost of sales amounted to 33,519 thousand euros compared with 31,842 thousand euros in the third quarter of 2012. At the end of the first nine months of 2013, the cost of sales t</w:t>
      </w:r>
      <w:r w:rsidR="00625CB4">
        <w:rPr>
          <w:color w:val="000000" w:themeColor="text1"/>
          <w:sz w:val="23"/>
          <w:szCs w:val="23"/>
          <w:lang w:val="en-US"/>
        </w:rPr>
        <w:t>otaled 101,347 thousand euros (</w:t>
      </w:r>
      <w:r w:rsidRPr="009C238A">
        <w:rPr>
          <w:color w:val="000000" w:themeColor="text1"/>
          <w:sz w:val="23"/>
          <w:szCs w:val="23"/>
          <w:lang w:val="en-US"/>
        </w:rPr>
        <w:t>99,247 thousand euros in the first nine months of 2012). The cost of sales includes 1,698 thousand euros in royalty expense (2,130 thousand euros in the same period last year) and 2,022 thousand euros in costs incurred to distribute products to end customers (1,975 in the same</w:t>
      </w:r>
      <w:r w:rsidR="00783155">
        <w:rPr>
          <w:color w:val="000000" w:themeColor="text1"/>
          <w:sz w:val="23"/>
          <w:szCs w:val="23"/>
          <w:lang w:val="en-US"/>
        </w:rPr>
        <w:t xml:space="preserve"> period</w:t>
      </w:r>
      <w:r w:rsidRPr="009C238A">
        <w:rPr>
          <w:color w:val="000000" w:themeColor="text1"/>
          <w:sz w:val="23"/>
          <w:szCs w:val="23"/>
          <w:lang w:val="en-US"/>
        </w:rPr>
        <w:t xml:space="preserve"> of 2012). The cost of sales also includes the depreciation of medical equipment held by customers, which amounted to 3,563 thousand euros (3,652 thousand euros in the same period last year).</w:t>
      </w:r>
    </w:p>
    <w:p w:rsidR="009072DB" w:rsidRPr="009C238A" w:rsidRDefault="009072DB" w:rsidP="009072DB">
      <w:pPr>
        <w:pStyle w:val="Intestazione"/>
        <w:tabs>
          <w:tab w:val="clear" w:pos="4819"/>
          <w:tab w:val="left" w:pos="240"/>
          <w:tab w:val="center" w:pos="1843"/>
        </w:tabs>
        <w:rPr>
          <w:highlight w:val="yellow"/>
          <w:lang w:val="en-US"/>
        </w:rPr>
      </w:pPr>
    </w:p>
    <w:p w:rsidR="009072DB" w:rsidRPr="009C238A" w:rsidRDefault="009072DB" w:rsidP="009072DB">
      <w:pPr>
        <w:pStyle w:val="Intestazione"/>
        <w:tabs>
          <w:tab w:val="clear" w:pos="4819"/>
          <w:tab w:val="left" w:pos="240"/>
          <w:tab w:val="center" w:pos="1843"/>
        </w:tabs>
        <w:jc w:val="both"/>
        <w:rPr>
          <w:b/>
          <w:bCs/>
          <w:color w:val="000000" w:themeColor="text1"/>
          <w:sz w:val="23"/>
          <w:szCs w:val="23"/>
          <w:lang w:val="en-US"/>
        </w:rPr>
      </w:pPr>
      <w:r w:rsidRPr="009C238A">
        <w:rPr>
          <w:b/>
          <w:lang w:val="en-US"/>
        </w:rPr>
        <w:t xml:space="preserve">(3) </w:t>
      </w:r>
      <w:r w:rsidRPr="009C238A">
        <w:rPr>
          <w:b/>
          <w:bCs/>
          <w:color w:val="000000" w:themeColor="text1"/>
          <w:sz w:val="23"/>
          <w:szCs w:val="23"/>
          <w:lang w:val="en-US"/>
        </w:rPr>
        <w:t>Sales and marketing expenses</w:t>
      </w:r>
    </w:p>
    <w:p w:rsidR="009072DB" w:rsidRPr="009C238A" w:rsidRDefault="009072DB" w:rsidP="009072DB">
      <w:pPr>
        <w:pStyle w:val="Intestazione"/>
        <w:tabs>
          <w:tab w:val="clear" w:pos="4819"/>
          <w:tab w:val="left" w:pos="240"/>
          <w:tab w:val="center" w:pos="1843"/>
        </w:tabs>
        <w:jc w:val="both"/>
        <w:rPr>
          <w:b/>
          <w:bCs/>
          <w:color w:val="000000" w:themeColor="text1"/>
          <w:sz w:val="23"/>
          <w:szCs w:val="23"/>
          <w:lang w:val="en-US"/>
        </w:rPr>
      </w:pPr>
    </w:p>
    <w:p w:rsidR="009072DB" w:rsidRPr="009C238A" w:rsidRDefault="009072DB" w:rsidP="009072DB">
      <w:pPr>
        <w:pStyle w:val="Intestazione"/>
        <w:tabs>
          <w:tab w:val="clear" w:pos="4819"/>
          <w:tab w:val="left" w:pos="0"/>
          <w:tab w:val="center" w:pos="1843"/>
        </w:tabs>
        <w:rPr>
          <w:color w:val="000000" w:themeColor="text1"/>
          <w:lang w:val="en-US"/>
        </w:rPr>
      </w:pPr>
      <w:r w:rsidRPr="009C238A">
        <w:rPr>
          <w:color w:val="000000" w:themeColor="text1"/>
          <w:sz w:val="23"/>
          <w:szCs w:val="23"/>
          <w:lang w:val="en-US"/>
        </w:rPr>
        <w:t>Sales and marketing expenses totaled 20,303 thousand euros in the third quarter of 2013, compared with 20,196 thousand euros in the third quarter of 2012. In the first nine months of 2013, sales and marketing expenses totaled 63,334 thousand euros (60,813 thousand euros in 2012).</w:t>
      </w:r>
    </w:p>
    <w:p w:rsidR="009072DB" w:rsidRPr="009C238A" w:rsidRDefault="009072DB" w:rsidP="009072DB">
      <w:pPr>
        <w:pStyle w:val="Intestazione"/>
        <w:tabs>
          <w:tab w:val="clear" w:pos="4819"/>
          <w:tab w:val="left" w:pos="240"/>
          <w:tab w:val="center" w:pos="1843"/>
        </w:tabs>
        <w:jc w:val="both"/>
        <w:rPr>
          <w:color w:val="000000" w:themeColor="text1"/>
          <w:sz w:val="23"/>
          <w:szCs w:val="23"/>
          <w:lang w:val="en-US"/>
        </w:rPr>
      </w:pPr>
      <w:r w:rsidRPr="009C238A">
        <w:rPr>
          <w:color w:val="000000" w:themeColor="text1"/>
          <w:sz w:val="23"/>
          <w:szCs w:val="23"/>
          <w:lang w:val="en-US"/>
        </w:rPr>
        <w:t>This item consists mainly of marketing costs incurre</w:t>
      </w:r>
      <w:r w:rsidR="00F560BF" w:rsidRPr="009C238A">
        <w:rPr>
          <w:color w:val="000000" w:themeColor="text1"/>
          <w:sz w:val="23"/>
          <w:szCs w:val="23"/>
          <w:lang w:val="en-US"/>
        </w:rPr>
        <w:t>d to promote and distribute Dias</w:t>
      </w:r>
      <w:r w:rsidRPr="009C238A">
        <w:rPr>
          <w:color w:val="000000" w:themeColor="text1"/>
          <w:sz w:val="23"/>
          <w:szCs w:val="23"/>
          <w:lang w:val="en-US"/>
        </w:rPr>
        <w:t>orin products, costs attributable to the direct and indirect sales force and the cost of the technical support offered together with the Group-owned equipment provided to customers under gratuitous loan contracts.</w:t>
      </w:r>
    </w:p>
    <w:p w:rsidR="009072DB" w:rsidRPr="009C238A" w:rsidRDefault="009072DB" w:rsidP="009072DB">
      <w:pPr>
        <w:pStyle w:val="Intestazione"/>
        <w:tabs>
          <w:tab w:val="clear" w:pos="4819"/>
          <w:tab w:val="left" w:pos="240"/>
          <w:tab w:val="center" w:pos="1843"/>
        </w:tabs>
        <w:rPr>
          <w:highlight w:val="yellow"/>
          <w:lang w:val="en-US"/>
        </w:rPr>
      </w:pP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jc w:val="both"/>
        <w:rPr>
          <w:b/>
          <w:color w:val="000000" w:themeColor="text1"/>
          <w:lang w:val="en-US"/>
        </w:rPr>
      </w:pPr>
      <w:r w:rsidRPr="009C238A">
        <w:rPr>
          <w:b/>
          <w:lang w:val="en-US"/>
        </w:rPr>
        <w:t xml:space="preserve">(4) </w:t>
      </w:r>
      <w:r w:rsidRPr="009C238A">
        <w:rPr>
          <w:b/>
          <w:bCs/>
          <w:color w:val="000000" w:themeColor="text1"/>
          <w:sz w:val="23"/>
          <w:szCs w:val="23"/>
          <w:lang w:val="en-US"/>
        </w:rPr>
        <w:t>Research and development costs</w:t>
      </w:r>
    </w:p>
    <w:p w:rsidR="009072DB" w:rsidRPr="009C238A" w:rsidRDefault="009072DB" w:rsidP="009072DB">
      <w:pPr>
        <w:spacing w:before="240" w:line="240" w:lineRule="atLeast"/>
        <w:ind w:right="-54"/>
        <w:jc w:val="both"/>
        <w:rPr>
          <w:color w:val="000000" w:themeColor="text1"/>
          <w:sz w:val="23"/>
          <w:szCs w:val="23"/>
          <w:lang w:val="en-US"/>
        </w:rPr>
      </w:pPr>
      <w:r w:rsidRPr="009C238A">
        <w:rPr>
          <w:color w:val="000000" w:themeColor="text1"/>
          <w:sz w:val="23"/>
          <w:szCs w:val="23"/>
          <w:lang w:val="en-US"/>
        </w:rPr>
        <w:t>The research and development costs incurred during the third quarter of 2013, which totaled 5,524 thousand euros (5,585 thousand euros in the same period of 2012), include all of the research and development outlays that were not capitalized equal to 3,294 thousand euros (3,410 thousand euros the third quarter of 2012), the costs incurred to register the products offered for sale and meet quality requirements amounting to 1,788 thousand euros, (1,758 thousand euros in the third quarter of 2012) and the amortization of capitalized development costs equal to 442 thousand euros (417 thousand euros in the third quarter of 2012).</w:t>
      </w:r>
    </w:p>
    <w:p w:rsidR="0018449D" w:rsidRPr="009C238A" w:rsidRDefault="0018449D" w:rsidP="009072DB">
      <w:pPr>
        <w:spacing w:before="240" w:line="240" w:lineRule="atLeast"/>
        <w:ind w:right="-54"/>
        <w:jc w:val="both"/>
        <w:rPr>
          <w:color w:val="000000" w:themeColor="text1"/>
          <w:sz w:val="23"/>
          <w:szCs w:val="23"/>
          <w:lang w:val="en-US"/>
        </w:rPr>
      </w:pPr>
    </w:p>
    <w:p w:rsidR="0018449D" w:rsidRPr="009C238A" w:rsidRDefault="0018449D" w:rsidP="009072DB">
      <w:pPr>
        <w:spacing w:before="240" w:line="240" w:lineRule="atLeast"/>
        <w:ind w:right="-54"/>
        <w:jc w:val="both"/>
        <w:rPr>
          <w:color w:val="000000" w:themeColor="text1"/>
          <w:sz w:val="23"/>
          <w:szCs w:val="23"/>
          <w:lang w:val="en-US"/>
        </w:rPr>
      </w:pPr>
    </w:p>
    <w:p w:rsidR="0018449D" w:rsidRPr="009C238A" w:rsidRDefault="0018449D" w:rsidP="009072DB">
      <w:pPr>
        <w:spacing w:before="240" w:line="240" w:lineRule="atLeast"/>
        <w:ind w:right="-54"/>
        <w:jc w:val="both"/>
        <w:rPr>
          <w:color w:val="000000" w:themeColor="text1"/>
          <w:sz w:val="23"/>
          <w:szCs w:val="23"/>
          <w:lang w:val="en-US"/>
        </w:rPr>
      </w:pPr>
    </w:p>
    <w:p w:rsidR="0018449D" w:rsidRPr="009C238A" w:rsidRDefault="0018449D" w:rsidP="009072DB">
      <w:pPr>
        <w:spacing w:before="240" w:line="240" w:lineRule="atLeast"/>
        <w:ind w:right="-54"/>
        <w:jc w:val="both"/>
        <w:rPr>
          <w:color w:val="000000" w:themeColor="text1"/>
          <w:sz w:val="23"/>
          <w:szCs w:val="23"/>
          <w:lang w:val="en-US"/>
        </w:rPr>
      </w:pPr>
    </w:p>
    <w:p w:rsidR="009072DB" w:rsidRPr="009C238A" w:rsidRDefault="009072DB" w:rsidP="009072DB">
      <w:pPr>
        <w:spacing w:before="240" w:line="240" w:lineRule="atLeast"/>
        <w:ind w:right="-54"/>
        <w:jc w:val="both"/>
        <w:rPr>
          <w:color w:val="000000" w:themeColor="text1"/>
          <w:sz w:val="23"/>
          <w:szCs w:val="23"/>
          <w:lang w:val="en-US"/>
        </w:rPr>
      </w:pPr>
      <w:r w:rsidRPr="009C238A">
        <w:rPr>
          <w:color w:val="000000" w:themeColor="text1"/>
          <w:sz w:val="23"/>
          <w:szCs w:val="23"/>
          <w:lang w:val="en-US"/>
        </w:rPr>
        <w:t>In the first nine months of 2013, the research and development costs amounted to 17,711 thousand euros (17,342 thousand euros in the first nine months of 2012).</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sz w:val="23"/>
          <w:szCs w:val="23"/>
          <w:lang w:val="en-US"/>
        </w:rPr>
        <w:t xml:space="preserve">In the third quarter of 2013, </w:t>
      </w:r>
      <w:r w:rsidRPr="009C238A">
        <w:rPr>
          <w:color w:val="000000" w:themeColor="text1"/>
          <w:lang w:val="en-US"/>
        </w:rPr>
        <w:t>the Group capitalized development costs amounting to 830 thousand euros (1,073 compared thousand euros in 2012). At September 30, 2013 development costs totaled 2,34</w:t>
      </w:r>
      <w:r w:rsidR="0018449D" w:rsidRPr="009C238A">
        <w:rPr>
          <w:color w:val="000000" w:themeColor="text1"/>
          <w:lang w:val="en-US"/>
        </w:rPr>
        <w:t>4 thousand euros (</w:t>
      </w:r>
      <w:r w:rsidRPr="009C238A">
        <w:rPr>
          <w:color w:val="000000" w:themeColor="text1"/>
          <w:lang w:val="en-US"/>
        </w:rPr>
        <w:t>2,723 thousand euros at September 30, 2012)</w:t>
      </w:r>
    </w:p>
    <w:p w:rsidR="009072DB" w:rsidRPr="009C238A" w:rsidRDefault="009072DB" w:rsidP="009072DB">
      <w:pPr>
        <w:pStyle w:val="Intestazione"/>
        <w:tabs>
          <w:tab w:val="clear" w:pos="4819"/>
          <w:tab w:val="left" w:pos="240"/>
          <w:tab w:val="center" w:pos="1843"/>
        </w:tabs>
        <w:rPr>
          <w:highlight w:val="yellow"/>
          <w:lang w:val="en-US"/>
        </w:rPr>
      </w:pP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jc w:val="both"/>
        <w:rPr>
          <w:b/>
          <w:color w:val="000000" w:themeColor="text1"/>
          <w:lang w:val="en-US"/>
        </w:rPr>
      </w:pPr>
      <w:r w:rsidRPr="009C238A">
        <w:rPr>
          <w:b/>
          <w:lang w:val="en-US"/>
        </w:rPr>
        <w:t xml:space="preserve">(5) </w:t>
      </w:r>
      <w:r w:rsidRPr="009C238A">
        <w:rPr>
          <w:b/>
          <w:bCs/>
          <w:color w:val="000000" w:themeColor="text1"/>
          <w:sz w:val="23"/>
          <w:szCs w:val="23"/>
          <w:lang w:val="en-US"/>
        </w:rPr>
        <w:t>General and administrative expenses</w:t>
      </w:r>
    </w:p>
    <w:p w:rsidR="009072DB" w:rsidRPr="009C238A" w:rsidRDefault="009072DB" w:rsidP="009072DB">
      <w:pPr>
        <w:spacing w:before="240" w:line="240" w:lineRule="atLeast"/>
        <w:ind w:right="-54"/>
        <w:jc w:val="both"/>
        <w:rPr>
          <w:color w:val="000000" w:themeColor="text1"/>
          <w:sz w:val="23"/>
          <w:szCs w:val="23"/>
          <w:lang w:val="en-US"/>
        </w:rPr>
      </w:pPr>
      <w:r w:rsidRPr="009C238A">
        <w:rPr>
          <w:color w:val="000000" w:themeColor="text1"/>
          <w:sz w:val="23"/>
          <w:szCs w:val="23"/>
          <w:lang w:val="en-US"/>
        </w:rPr>
        <w:t>General and administrative expenses, which include expenses incurred for corporate management activities, Group administration, finance and control, information technology, corporate organizati</w:t>
      </w:r>
      <w:r w:rsidR="00F367D3">
        <w:rPr>
          <w:color w:val="000000" w:themeColor="text1"/>
          <w:sz w:val="23"/>
          <w:szCs w:val="23"/>
          <w:lang w:val="en-US"/>
        </w:rPr>
        <w:t>on and insurance, totaled 11,405</w:t>
      </w:r>
      <w:r w:rsidRPr="009C238A">
        <w:rPr>
          <w:color w:val="000000" w:themeColor="text1"/>
          <w:sz w:val="23"/>
          <w:szCs w:val="23"/>
          <w:lang w:val="en-US"/>
        </w:rPr>
        <w:t xml:space="preserve"> thousand euros in </w:t>
      </w:r>
      <w:r w:rsidR="005C347E">
        <w:rPr>
          <w:color w:val="000000" w:themeColor="text1"/>
          <w:sz w:val="23"/>
          <w:szCs w:val="23"/>
          <w:lang w:val="en-US"/>
        </w:rPr>
        <w:t>the third quarter of 2013 (11,20</w:t>
      </w:r>
      <w:r w:rsidRPr="009C238A">
        <w:rPr>
          <w:color w:val="000000" w:themeColor="text1"/>
          <w:sz w:val="23"/>
          <w:szCs w:val="23"/>
          <w:lang w:val="en-US"/>
        </w:rPr>
        <w:t>3 thousand euros in the third quarter of 2012). In the first nine months of 2013, general and administrative expenses amounted to 35,907 thousand euros (35,512 thousand euros in 2012).</w:t>
      </w:r>
    </w:p>
    <w:p w:rsidR="009072DB" w:rsidRPr="009C238A" w:rsidRDefault="009072DB" w:rsidP="009072DB">
      <w:pPr>
        <w:pStyle w:val="Intestazione"/>
        <w:tabs>
          <w:tab w:val="clear" w:pos="4819"/>
          <w:tab w:val="left" w:pos="240"/>
          <w:tab w:val="center" w:pos="1843"/>
        </w:tabs>
        <w:rPr>
          <w:highlight w:val="yellow"/>
          <w:lang w:val="en-US"/>
        </w:rPr>
      </w:pPr>
    </w:p>
    <w:p w:rsidR="009072DB" w:rsidRPr="009C238A" w:rsidRDefault="009072DB" w:rsidP="009072DB">
      <w:pPr>
        <w:tabs>
          <w:tab w:val="left" w:pos="360"/>
        </w:tabs>
        <w:ind w:left="120"/>
        <w:jc w:val="both"/>
        <w:rPr>
          <w:highlight w:val="yellow"/>
          <w:lang w:val="en-US"/>
        </w:rPr>
      </w:pPr>
    </w:p>
    <w:p w:rsidR="009072DB" w:rsidRPr="009C238A" w:rsidRDefault="009072DB" w:rsidP="009072DB">
      <w:pPr>
        <w:pStyle w:val="Intestazione"/>
        <w:tabs>
          <w:tab w:val="clear" w:pos="4819"/>
          <w:tab w:val="left" w:pos="240"/>
          <w:tab w:val="center" w:pos="1843"/>
        </w:tabs>
        <w:jc w:val="both"/>
        <w:rPr>
          <w:color w:val="000000" w:themeColor="text1"/>
          <w:lang w:val="en-US"/>
        </w:rPr>
      </w:pPr>
      <w:r w:rsidRPr="009C238A">
        <w:rPr>
          <w:b/>
          <w:lang w:val="en-US"/>
        </w:rPr>
        <w:t xml:space="preserve">(6) </w:t>
      </w:r>
      <w:r w:rsidRPr="009C238A">
        <w:rPr>
          <w:b/>
          <w:bCs/>
          <w:color w:val="000000" w:themeColor="text1"/>
          <w:sz w:val="23"/>
          <w:szCs w:val="23"/>
          <w:lang w:val="en-US"/>
        </w:rPr>
        <w:t>Other operating income (expense)</w:t>
      </w:r>
    </w:p>
    <w:p w:rsidR="009072DB" w:rsidRPr="009C238A" w:rsidRDefault="009072DB" w:rsidP="009072DB">
      <w:pPr>
        <w:pStyle w:val="Intestazione"/>
        <w:tabs>
          <w:tab w:val="clear" w:pos="4819"/>
          <w:tab w:val="left" w:pos="0"/>
          <w:tab w:val="center" w:pos="1843"/>
        </w:tabs>
        <w:jc w:val="both"/>
        <w:rPr>
          <w:color w:val="000000" w:themeColor="text1"/>
          <w:lang w:val="en-US"/>
        </w:rPr>
      </w:pPr>
    </w:p>
    <w:p w:rsidR="009072DB" w:rsidRPr="009C238A" w:rsidRDefault="009072DB" w:rsidP="009072DB">
      <w:pPr>
        <w:tabs>
          <w:tab w:val="left" w:pos="0"/>
          <w:tab w:val="left" w:pos="360"/>
        </w:tabs>
        <w:jc w:val="both"/>
        <w:rPr>
          <w:color w:val="000000" w:themeColor="text1"/>
          <w:sz w:val="23"/>
          <w:szCs w:val="23"/>
          <w:lang w:val="en-US"/>
        </w:rPr>
      </w:pPr>
      <w:r w:rsidRPr="009C238A">
        <w:rPr>
          <w:color w:val="000000" w:themeColor="text1"/>
          <w:sz w:val="23"/>
          <w:szCs w:val="23"/>
          <w:lang w:val="en-US"/>
        </w:rPr>
        <w:t>Net other operating expense totaled 1,736 thousand euros in the third quarter of 2013 (1,225 thousand euros in the third quarter of 2012) and 4,324 thousand euros in the first nine months of 2013 (3,077 thousand euros in the first nine months of 2012), respectively. This item reflects other income from operations that does not derive from the Group’s regular sales activities (such as gains on asset sales, government grants and insurance settlements), net of other operating charges that cannot be allocated to specific functional areas (losses on asset sales, out-of-period charges, indirect taxes and fees, and additions to provisions for risks).</w:t>
      </w:r>
    </w:p>
    <w:p w:rsidR="009072DB" w:rsidRPr="009C238A" w:rsidRDefault="009072DB" w:rsidP="009072DB">
      <w:pPr>
        <w:tabs>
          <w:tab w:val="left" w:pos="0"/>
          <w:tab w:val="left" w:pos="360"/>
        </w:tabs>
        <w:jc w:val="both"/>
        <w:rPr>
          <w:color w:val="000000" w:themeColor="text1"/>
          <w:sz w:val="23"/>
          <w:szCs w:val="23"/>
          <w:lang w:val="en-US"/>
        </w:rPr>
      </w:pPr>
    </w:p>
    <w:p w:rsidR="009072DB" w:rsidRPr="009C238A" w:rsidRDefault="009072DB" w:rsidP="009072DB">
      <w:pPr>
        <w:pStyle w:val="Intestazione"/>
        <w:tabs>
          <w:tab w:val="clear" w:pos="4819"/>
          <w:tab w:val="left" w:pos="0"/>
          <w:tab w:val="left" w:pos="1418"/>
          <w:tab w:val="center" w:pos="1843"/>
        </w:tabs>
        <w:jc w:val="both"/>
        <w:rPr>
          <w:color w:val="000000" w:themeColor="text1"/>
          <w:lang w:val="en-US"/>
        </w:rPr>
      </w:pPr>
      <w:r w:rsidRPr="009C238A">
        <w:rPr>
          <w:color w:val="000000" w:themeColor="text1"/>
          <w:lang w:val="en-US"/>
        </w:rPr>
        <w:t xml:space="preserve">Specific charges include 798 thousand euros in trade related foreign exchange translation losses in the third quarter of 2013 (1,399 thousand euros in the first nine months of 2013) compared with 189 thousand euros in third quarter of 2012 (990 thousand euros in the first nine months of 2012). In the third quarter of 2013, this item includes 243 </w:t>
      </w:r>
      <w:r w:rsidR="0018449D" w:rsidRPr="009C238A">
        <w:rPr>
          <w:color w:val="000000" w:themeColor="text1"/>
          <w:lang w:val="en-US"/>
        </w:rPr>
        <w:t>thousand euros for the Medical Device T</w:t>
      </w:r>
      <w:r w:rsidRPr="009C238A">
        <w:rPr>
          <w:color w:val="000000" w:themeColor="text1"/>
          <w:lang w:val="en-US"/>
        </w:rPr>
        <w:t>ax introduced in the United States in 2013 (729 thousand euros in the first nine months of 2013).</w:t>
      </w:r>
    </w:p>
    <w:p w:rsidR="009072DB" w:rsidRPr="009C238A" w:rsidRDefault="009072DB" w:rsidP="009072DB">
      <w:pPr>
        <w:pStyle w:val="Intestazione"/>
        <w:tabs>
          <w:tab w:val="clear" w:pos="4819"/>
          <w:tab w:val="left" w:pos="0"/>
          <w:tab w:val="left" w:pos="1418"/>
          <w:tab w:val="center" w:pos="1843"/>
        </w:tabs>
        <w:jc w:val="both"/>
        <w:rPr>
          <w:color w:val="000000" w:themeColor="text1"/>
          <w:lang w:val="en-US"/>
        </w:rPr>
      </w:pPr>
    </w:p>
    <w:p w:rsidR="009072DB" w:rsidRPr="009C238A" w:rsidRDefault="009072DB" w:rsidP="009072DB">
      <w:pPr>
        <w:tabs>
          <w:tab w:val="left" w:pos="360"/>
        </w:tabs>
        <w:jc w:val="both"/>
        <w:rPr>
          <w:b/>
          <w:lang w:val="en-US"/>
        </w:rPr>
      </w:pPr>
    </w:p>
    <w:p w:rsidR="009072DB" w:rsidRPr="009C238A" w:rsidRDefault="009072DB" w:rsidP="009072DB">
      <w:pPr>
        <w:tabs>
          <w:tab w:val="left" w:pos="360"/>
          <w:tab w:val="left" w:pos="1418"/>
        </w:tabs>
        <w:jc w:val="both"/>
        <w:rPr>
          <w:b/>
          <w:bCs/>
          <w:color w:val="000000" w:themeColor="text1"/>
          <w:sz w:val="23"/>
          <w:szCs w:val="23"/>
          <w:lang w:val="en-US"/>
        </w:rPr>
      </w:pPr>
      <w:r w:rsidRPr="009C238A">
        <w:rPr>
          <w:b/>
          <w:lang w:val="en-US"/>
        </w:rPr>
        <w:t xml:space="preserve">(7) </w:t>
      </w:r>
      <w:r w:rsidRPr="009C238A">
        <w:rPr>
          <w:b/>
          <w:bCs/>
          <w:color w:val="000000" w:themeColor="text1"/>
          <w:sz w:val="23"/>
          <w:szCs w:val="23"/>
          <w:lang w:val="en-US"/>
        </w:rPr>
        <w:t>Net financial income (expense)</w:t>
      </w:r>
    </w:p>
    <w:p w:rsidR="009072DB" w:rsidRPr="009C238A" w:rsidRDefault="009072DB" w:rsidP="009072DB">
      <w:pPr>
        <w:tabs>
          <w:tab w:val="left" w:pos="1418"/>
        </w:tabs>
        <w:spacing w:before="240" w:line="240" w:lineRule="atLeast"/>
        <w:ind w:right="-54"/>
        <w:jc w:val="both"/>
        <w:rPr>
          <w:color w:val="000000" w:themeColor="text1"/>
          <w:lang w:val="en-US"/>
        </w:rPr>
      </w:pPr>
      <w:r w:rsidRPr="009C238A">
        <w:rPr>
          <w:color w:val="000000" w:themeColor="text1"/>
          <w:sz w:val="23"/>
          <w:szCs w:val="23"/>
          <w:lang w:val="en-US"/>
        </w:rPr>
        <w:t>The table below provides a breakdown of financial income and expense:</w:t>
      </w:r>
    </w:p>
    <w:p w:rsidR="009072DB" w:rsidRPr="009C238A" w:rsidRDefault="009072DB" w:rsidP="009072DB">
      <w:pPr>
        <w:tabs>
          <w:tab w:val="left" w:pos="360"/>
        </w:tabs>
        <w:jc w:val="both"/>
        <w:rPr>
          <w:highlight w:val="yellow"/>
          <w:lang w:val="en-US"/>
        </w:rPr>
      </w:pPr>
    </w:p>
    <w:tbl>
      <w:tblPr>
        <w:tblW w:w="5000" w:type="pct"/>
        <w:tblCellMar>
          <w:left w:w="70" w:type="dxa"/>
          <w:right w:w="70" w:type="dxa"/>
        </w:tblCellMar>
        <w:tblLook w:val="04A0"/>
      </w:tblPr>
      <w:tblGrid>
        <w:gridCol w:w="4593"/>
        <w:gridCol w:w="1196"/>
        <w:gridCol w:w="1327"/>
        <w:gridCol w:w="1329"/>
        <w:gridCol w:w="1327"/>
      </w:tblGrid>
      <w:tr w:rsidR="009072DB" w:rsidRPr="009C238A" w:rsidTr="009072DB">
        <w:trPr>
          <w:trHeight w:val="315"/>
        </w:trPr>
        <w:tc>
          <w:tcPr>
            <w:tcW w:w="2350"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i/>
                <w:iCs/>
                <w:sz w:val="20"/>
                <w:szCs w:val="20"/>
                <w:lang w:val="en-US"/>
              </w:rPr>
            </w:pPr>
            <w:r w:rsidRPr="009C238A">
              <w:rPr>
                <w:i/>
                <w:iCs/>
                <w:sz w:val="20"/>
                <w:szCs w:val="20"/>
                <w:lang w:val="en-US"/>
              </w:rPr>
              <w:t>(in thousands of euros)</w:t>
            </w:r>
          </w:p>
        </w:tc>
        <w:tc>
          <w:tcPr>
            <w:tcW w:w="612" w:type="pct"/>
            <w:tcBorders>
              <w:top w:val="single" w:sz="4" w:space="0" w:color="auto"/>
              <w:left w:val="nil"/>
              <w:bottom w:val="single" w:sz="4" w:space="0" w:color="auto"/>
              <w:right w:val="nil"/>
            </w:tcBorders>
            <w:shd w:val="clear" w:color="000000" w:fill="FFFFFF"/>
            <w:vAlign w:val="center"/>
            <w:hideMark/>
          </w:tcPr>
          <w:p w:rsidR="009072DB" w:rsidRPr="009C238A" w:rsidRDefault="00794EA8" w:rsidP="009072DB">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w:t>
            </w:r>
            <w:r w:rsidR="009072DB" w:rsidRPr="009C238A">
              <w:rPr>
                <w:b/>
                <w:bCs/>
                <w:sz w:val="20"/>
                <w:szCs w:val="20"/>
                <w:lang w:val="en-US"/>
              </w:rPr>
              <w:t>2013</w:t>
            </w:r>
          </w:p>
        </w:tc>
        <w:tc>
          <w:tcPr>
            <w:tcW w:w="679" w:type="pct"/>
            <w:tcBorders>
              <w:top w:val="single" w:sz="4" w:space="0" w:color="auto"/>
              <w:left w:val="nil"/>
              <w:bottom w:val="single" w:sz="4" w:space="0" w:color="auto"/>
              <w:right w:val="nil"/>
            </w:tcBorders>
            <w:shd w:val="clear" w:color="000000" w:fill="FFFFFF"/>
            <w:vAlign w:val="center"/>
            <w:hideMark/>
          </w:tcPr>
          <w:p w:rsidR="009072DB" w:rsidRPr="009C238A" w:rsidRDefault="00794EA8" w:rsidP="009072DB">
            <w:pPr>
              <w:jc w:val="right"/>
              <w:rPr>
                <w:b/>
                <w:bCs/>
                <w:sz w:val="20"/>
                <w:szCs w:val="20"/>
                <w:lang w:val="en-US"/>
              </w:rPr>
            </w:pPr>
            <w:r w:rsidRPr="009C238A">
              <w:rPr>
                <w:b/>
                <w:bCs/>
                <w:sz w:val="20"/>
                <w:szCs w:val="20"/>
                <w:lang w:val="en-US"/>
              </w:rPr>
              <w:t>3</w:t>
            </w:r>
            <w:r w:rsidRPr="009C238A">
              <w:rPr>
                <w:b/>
                <w:bCs/>
                <w:sz w:val="20"/>
                <w:szCs w:val="20"/>
                <w:vertAlign w:val="superscript"/>
                <w:lang w:val="en-US"/>
              </w:rPr>
              <w:t>rd</w:t>
            </w:r>
            <w:r w:rsidRPr="009C238A">
              <w:rPr>
                <w:b/>
                <w:bCs/>
                <w:sz w:val="20"/>
                <w:szCs w:val="20"/>
                <w:lang w:val="en-US"/>
              </w:rPr>
              <w:t xml:space="preserve"> quarter </w:t>
            </w:r>
            <w:r w:rsidR="009072DB" w:rsidRPr="009C238A">
              <w:rPr>
                <w:b/>
                <w:bCs/>
                <w:sz w:val="20"/>
                <w:szCs w:val="20"/>
                <w:lang w:val="en-US"/>
              </w:rPr>
              <w:t>2012</w:t>
            </w:r>
          </w:p>
        </w:tc>
        <w:tc>
          <w:tcPr>
            <w:tcW w:w="680"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First nine months</w:t>
            </w:r>
          </w:p>
          <w:p w:rsidR="009072DB" w:rsidRPr="009C238A" w:rsidRDefault="009072DB" w:rsidP="009072DB">
            <w:pPr>
              <w:jc w:val="right"/>
              <w:rPr>
                <w:b/>
                <w:bCs/>
                <w:sz w:val="20"/>
                <w:szCs w:val="20"/>
                <w:lang w:val="en-US"/>
              </w:rPr>
            </w:pPr>
            <w:r w:rsidRPr="009C238A">
              <w:rPr>
                <w:b/>
                <w:bCs/>
                <w:sz w:val="20"/>
                <w:szCs w:val="20"/>
                <w:lang w:val="en-US"/>
              </w:rPr>
              <w:t xml:space="preserve"> 2013</w:t>
            </w:r>
          </w:p>
        </w:tc>
        <w:tc>
          <w:tcPr>
            <w:tcW w:w="679"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First nine months</w:t>
            </w:r>
          </w:p>
          <w:p w:rsidR="009072DB" w:rsidRPr="009C238A" w:rsidRDefault="009072DB" w:rsidP="009072DB">
            <w:pPr>
              <w:jc w:val="right"/>
              <w:rPr>
                <w:b/>
                <w:bCs/>
                <w:sz w:val="20"/>
                <w:szCs w:val="20"/>
                <w:lang w:val="en-US"/>
              </w:rPr>
            </w:pPr>
            <w:r w:rsidRPr="009C238A">
              <w:rPr>
                <w:b/>
                <w:bCs/>
                <w:sz w:val="20"/>
                <w:szCs w:val="20"/>
                <w:lang w:val="en-US"/>
              </w:rPr>
              <w:t>2012</w:t>
            </w:r>
          </w:p>
        </w:tc>
      </w:tr>
      <w:tr w:rsidR="009072DB" w:rsidRPr="009C238A" w:rsidTr="009072DB">
        <w:trPr>
          <w:trHeight w:val="255"/>
        </w:trPr>
        <w:tc>
          <w:tcPr>
            <w:tcW w:w="2350"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Interest and other financial expense</w:t>
            </w:r>
          </w:p>
        </w:tc>
        <w:tc>
          <w:tcPr>
            <w:tcW w:w="61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(693)</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(878)</w:t>
            </w:r>
          </w:p>
        </w:tc>
        <w:tc>
          <w:tcPr>
            <w:tcW w:w="680"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(2,195)</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(2,414)</w:t>
            </w:r>
          </w:p>
        </w:tc>
      </w:tr>
      <w:tr w:rsidR="009072DB" w:rsidRPr="009C238A" w:rsidTr="009072DB">
        <w:trPr>
          <w:trHeight w:val="255"/>
        </w:trPr>
        <w:tc>
          <w:tcPr>
            <w:tcW w:w="2350"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Valuation of financial instruments as per IAS 39</w:t>
            </w:r>
          </w:p>
        </w:tc>
        <w:tc>
          <w:tcPr>
            <w:tcW w:w="61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255</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471</w:t>
            </w:r>
          </w:p>
        </w:tc>
        <w:tc>
          <w:tcPr>
            <w:tcW w:w="680"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(113)</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98</w:t>
            </w:r>
          </w:p>
        </w:tc>
      </w:tr>
      <w:tr w:rsidR="009072DB" w:rsidRPr="009C238A" w:rsidTr="009072DB">
        <w:trPr>
          <w:trHeight w:val="510"/>
        </w:trPr>
        <w:tc>
          <w:tcPr>
            <w:tcW w:w="2350" w:type="pct"/>
            <w:tcBorders>
              <w:top w:val="nil"/>
              <w:left w:val="nil"/>
              <w:bottom w:val="nil"/>
              <w:right w:val="nil"/>
            </w:tcBorders>
            <w:shd w:val="clear" w:color="000000" w:fill="FFFFFF"/>
            <w:vAlign w:val="center"/>
            <w:hideMark/>
          </w:tcPr>
          <w:p w:rsidR="009072DB" w:rsidRPr="009C238A" w:rsidRDefault="009072DB" w:rsidP="009072DB">
            <w:pPr>
              <w:rPr>
                <w:sz w:val="20"/>
                <w:szCs w:val="20"/>
                <w:lang w:val="en-US"/>
              </w:rPr>
            </w:pPr>
            <w:r w:rsidRPr="009C238A">
              <w:rPr>
                <w:color w:val="000000" w:themeColor="text1"/>
                <w:sz w:val="20"/>
                <w:szCs w:val="20"/>
                <w:lang w:val="en-US"/>
              </w:rPr>
              <w:t>Cumulative share of OCI of entities consolidated under the equity method</w:t>
            </w:r>
            <w:r w:rsidR="00866117">
              <w:rPr>
                <w:sz w:val="20"/>
                <w:szCs w:val="20"/>
                <w:lang w:val="en-US"/>
              </w:rPr>
              <w:t xml:space="preserve"> (JV Diasorin Trivitron He</w:t>
            </w:r>
            <w:r w:rsidRPr="009C238A">
              <w:rPr>
                <w:sz w:val="20"/>
                <w:szCs w:val="20"/>
                <w:lang w:val="en-US"/>
              </w:rPr>
              <w:t>a</w:t>
            </w:r>
            <w:r w:rsidR="00866117">
              <w:rPr>
                <w:sz w:val="20"/>
                <w:szCs w:val="20"/>
                <w:lang w:val="en-US"/>
              </w:rPr>
              <w:t>l</w:t>
            </w:r>
            <w:r w:rsidRPr="009C238A">
              <w:rPr>
                <w:sz w:val="20"/>
                <w:szCs w:val="20"/>
                <w:lang w:val="en-US"/>
              </w:rPr>
              <w:t>thcare Private Limited)</w:t>
            </w:r>
          </w:p>
        </w:tc>
        <w:tc>
          <w:tcPr>
            <w:tcW w:w="61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(84)</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680"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(243)</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w:t>
            </w:r>
          </w:p>
        </w:tc>
      </w:tr>
      <w:tr w:rsidR="009072DB" w:rsidRPr="009C238A" w:rsidTr="009072DB">
        <w:trPr>
          <w:trHeight w:val="255"/>
        </w:trPr>
        <w:tc>
          <w:tcPr>
            <w:tcW w:w="2350"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Interest on pension funds</w:t>
            </w:r>
          </w:p>
        </w:tc>
        <w:tc>
          <w:tcPr>
            <w:tcW w:w="61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(147)</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(234)</w:t>
            </w:r>
          </w:p>
        </w:tc>
        <w:tc>
          <w:tcPr>
            <w:tcW w:w="680"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(565)</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(651)</w:t>
            </w:r>
          </w:p>
        </w:tc>
      </w:tr>
      <w:tr w:rsidR="009072DB" w:rsidRPr="009C238A" w:rsidTr="009072DB">
        <w:trPr>
          <w:trHeight w:val="255"/>
        </w:trPr>
        <w:tc>
          <w:tcPr>
            <w:tcW w:w="2350"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Interest and other financial income</w:t>
            </w:r>
          </w:p>
        </w:tc>
        <w:tc>
          <w:tcPr>
            <w:tcW w:w="61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148</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155</w:t>
            </w:r>
          </w:p>
        </w:tc>
        <w:tc>
          <w:tcPr>
            <w:tcW w:w="680"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631</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622</w:t>
            </w:r>
          </w:p>
        </w:tc>
      </w:tr>
      <w:tr w:rsidR="009072DB" w:rsidRPr="009C238A" w:rsidTr="009072DB">
        <w:trPr>
          <w:trHeight w:val="255"/>
        </w:trPr>
        <w:tc>
          <w:tcPr>
            <w:tcW w:w="2350"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Net translation adjustment</w:t>
            </w:r>
          </w:p>
        </w:tc>
        <w:tc>
          <w:tcPr>
            <w:tcW w:w="61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(416)</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(92)</w:t>
            </w:r>
          </w:p>
        </w:tc>
        <w:tc>
          <w:tcPr>
            <w:tcW w:w="680"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(1,321)</w:t>
            </w:r>
          </w:p>
        </w:tc>
        <w:tc>
          <w:tcPr>
            <w:tcW w:w="679"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122</w:t>
            </w:r>
          </w:p>
        </w:tc>
      </w:tr>
      <w:tr w:rsidR="009072DB" w:rsidRPr="009C238A" w:rsidTr="009072DB">
        <w:trPr>
          <w:trHeight w:val="255"/>
        </w:trPr>
        <w:tc>
          <w:tcPr>
            <w:tcW w:w="2350"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Net financial income (expense)</w:t>
            </w:r>
          </w:p>
        </w:tc>
        <w:tc>
          <w:tcPr>
            <w:tcW w:w="61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(937)</w:t>
            </w:r>
          </w:p>
        </w:tc>
        <w:tc>
          <w:tcPr>
            <w:tcW w:w="67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(578)</w:t>
            </w:r>
          </w:p>
        </w:tc>
        <w:tc>
          <w:tcPr>
            <w:tcW w:w="680"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A43E76">
            <w:pPr>
              <w:jc w:val="right"/>
              <w:rPr>
                <w:b/>
                <w:bCs/>
                <w:sz w:val="20"/>
                <w:szCs w:val="20"/>
                <w:lang w:val="en-US"/>
              </w:rPr>
            </w:pPr>
            <w:r w:rsidRPr="009C238A">
              <w:rPr>
                <w:b/>
                <w:bCs/>
                <w:sz w:val="20"/>
                <w:szCs w:val="20"/>
                <w:lang w:val="en-US"/>
              </w:rPr>
              <w:t>(</w:t>
            </w:r>
            <w:r w:rsidR="00A43E76">
              <w:rPr>
                <w:b/>
                <w:bCs/>
                <w:sz w:val="20"/>
                <w:szCs w:val="20"/>
                <w:lang w:val="en-US"/>
              </w:rPr>
              <w:t>3,806</w:t>
            </w:r>
            <w:r w:rsidRPr="009C238A">
              <w:rPr>
                <w:b/>
                <w:bCs/>
                <w:sz w:val="20"/>
                <w:szCs w:val="20"/>
                <w:lang w:val="en-US"/>
              </w:rPr>
              <w:t>)</w:t>
            </w:r>
          </w:p>
        </w:tc>
        <w:tc>
          <w:tcPr>
            <w:tcW w:w="679"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(2,223)</w:t>
            </w:r>
          </w:p>
        </w:tc>
      </w:tr>
    </w:tbl>
    <w:p w:rsidR="00794EA8" w:rsidRPr="009C238A" w:rsidRDefault="00794EA8" w:rsidP="009072DB">
      <w:pPr>
        <w:spacing w:before="240" w:line="240" w:lineRule="atLeast"/>
        <w:ind w:right="-54"/>
        <w:jc w:val="both"/>
        <w:rPr>
          <w:color w:val="000000" w:themeColor="text1"/>
          <w:lang w:val="en-US"/>
        </w:rPr>
      </w:pPr>
    </w:p>
    <w:p w:rsidR="009072DB" w:rsidRDefault="009072DB" w:rsidP="009072DB">
      <w:pPr>
        <w:spacing w:before="240" w:line="240" w:lineRule="atLeast"/>
        <w:ind w:right="-54"/>
        <w:jc w:val="both"/>
        <w:rPr>
          <w:color w:val="000000" w:themeColor="text1"/>
          <w:lang w:val="en-US"/>
        </w:rPr>
      </w:pPr>
      <w:r w:rsidRPr="009C238A">
        <w:rPr>
          <w:color w:val="000000" w:themeColor="text1"/>
          <w:lang w:val="en-US"/>
        </w:rPr>
        <w:t>In the third quarter of 2013, net financial expense totaled 937 thousand euros, as against net financial expense of 578 thousand euros in the same period last year. At September 30, 2013 net financial expense totaled 3,806 thousand euros (2,223 thousand euros at September 30, 2012)</w:t>
      </w:r>
      <w:r w:rsidR="00A017D6" w:rsidRPr="009C238A">
        <w:rPr>
          <w:color w:val="000000" w:themeColor="text1"/>
          <w:lang w:val="en-US"/>
        </w:rPr>
        <w:t>.</w:t>
      </w:r>
    </w:p>
    <w:p w:rsidR="006369D4" w:rsidRPr="009C238A" w:rsidRDefault="006369D4" w:rsidP="009072DB">
      <w:pPr>
        <w:spacing w:before="240" w:line="240" w:lineRule="atLeast"/>
        <w:ind w:right="-54"/>
        <w:jc w:val="both"/>
        <w:rPr>
          <w:color w:val="000000" w:themeColor="text1"/>
          <w:lang w:val="en-US"/>
        </w:rPr>
      </w:pPr>
    </w:p>
    <w:p w:rsidR="007C17EB" w:rsidRPr="009C238A" w:rsidRDefault="00A017D6" w:rsidP="00D97CD0">
      <w:pPr>
        <w:widowControl w:val="0"/>
        <w:autoSpaceDE w:val="0"/>
        <w:autoSpaceDN w:val="0"/>
        <w:adjustRightInd w:val="0"/>
        <w:jc w:val="both"/>
        <w:rPr>
          <w:rFonts w:eastAsiaTheme="minorEastAsia"/>
          <w:color w:val="000000" w:themeColor="text1"/>
          <w:lang w:val="en-US"/>
        </w:rPr>
      </w:pPr>
      <w:r w:rsidRPr="009C238A">
        <w:rPr>
          <w:color w:val="000000" w:themeColor="text1"/>
          <w:lang w:val="en-US"/>
        </w:rPr>
        <w:t xml:space="preserve">The </w:t>
      </w:r>
      <w:r w:rsidR="00CC40C2" w:rsidRPr="009C238A">
        <w:rPr>
          <w:color w:val="000000" w:themeColor="text1"/>
          <w:lang w:val="en-US"/>
        </w:rPr>
        <w:t>negative change between 2013 and 2012 quarters is mainly attributable to</w:t>
      </w:r>
      <w:r w:rsidR="00F05D64" w:rsidRPr="009C238A">
        <w:rPr>
          <w:color w:val="000000" w:themeColor="text1"/>
          <w:lang w:val="en-US"/>
        </w:rPr>
        <w:t xml:space="preserve"> the translation adjustment, </w:t>
      </w:r>
      <w:r w:rsidRPr="009C238A">
        <w:rPr>
          <w:color w:val="000000" w:themeColor="text1"/>
          <w:lang w:val="en-US"/>
        </w:rPr>
        <w:t xml:space="preserve">negative by 416 thousand euros (negative by 92 thousand euros in the third quarter of 2012), </w:t>
      </w:r>
      <w:r w:rsidRPr="009C238A">
        <w:rPr>
          <w:rFonts w:eastAsiaTheme="minorEastAsia"/>
          <w:color w:val="000000" w:themeColor="text1"/>
          <w:lang w:val="en-US"/>
        </w:rPr>
        <w:t>related mainly to the Euro exchange rate in the dividends distributed to subsidiaries for 163 thousand euros, together with the financial balances of subsidiaries that use currencies different from the Group’s Parent Company currency (131 thousand euros) and the intercompany financing disbursed by the Group’s Parent company to the Australian subsidiary in the local currency (98 thousand euros).</w:t>
      </w:r>
    </w:p>
    <w:p w:rsidR="00D97CD0" w:rsidRPr="009C238A" w:rsidRDefault="00F05D64" w:rsidP="00D97CD0">
      <w:pPr>
        <w:widowControl w:val="0"/>
        <w:autoSpaceDE w:val="0"/>
        <w:autoSpaceDN w:val="0"/>
        <w:adjustRightInd w:val="0"/>
        <w:jc w:val="both"/>
        <w:rPr>
          <w:rFonts w:eastAsiaTheme="minorEastAsia"/>
          <w:color w:val="000000" w:themeColor="text1"/>
          <w:lang w:val="en-US"/>
        </w:rPr>
      </w:pPr>
      <w:r w:rsidRPr="009C238A">
        <w:rPr>
          <w:rFonts w:eastAsiaTheme="minorEastAsia"/>
          <w:color w:val="000000" w:themeColor="text1"/>
          <w:lang w:val="en-US"/>
        </w:rPr>
        <w:t>In the first nine months of 2013,</w:t>
      </w:r>
      <w:r w:rsidR="00D97CD0" w:rsidRPr="009C238A">
        <w:rPr>
          <w:rFonts w:eastAsiaTheme="minorEastAsia"/>
          <w:color w:val="000000" w:themeColor="text1"/>
          <w:lang w:val="en-US"/>
        </w:rPr>
        <w:t xml:space="preserve"> </w:t>
      </w:r>
      <w:r w:rsidR="007C17EB" w:rsidRPr="009C238A">
        <w:rPr>
          <w:color w:val="000000" w:themeColor="text1"/>
          <w:lang w:val="en-US"/>
        </w:rPr>
        <w:t xml:space="preserve">the translation adjustment, </w:t>
      </w:r>
      <w:r w:rsidR="00D97CD0" w:rsidRPr="009C238A">
        <w:rPr>
          <w:color w:val="000000" w:themeColor="text1"/>
          <w:lang w:val="en-US"/>
        </w:rPr>
        <w:t xml:space="preserve">negative by 1,321 thousand euros (positive by 122 thousand euros in the </w:t>
      </w:r>
      <w:r w:rsidR="00D97CD0" w:rsidRPr="009C238A">
        <w:rPr>
          <w:color w:val="000000" w:themeColor="text1"/>
          <w:sz w:val="23"/>
          <w:szCs w:val="23"/>
          <w:lang w:val="en-US"/>
        </w:rPr>
        <w:t xml:space="preserve">first nine months </w:t>
      </w:r>
      <w:r w:rsidR="00D97CD0" w:rsidRPr="009C238A">
        <w:rPr>
          <w:color w:val="000000" w:themeColor="text1"/>
          <w:lang w:val="en-US"/>
        </w:rPr>
        <w:t xml:space="preserve">of 2012), </w:t>
      </w:r>
      <w:r w:rsidR="00D97CD0" w:rsidRPr="009C238A">
        <w:rPr>
          <w:rFonts w:eastAsiaTheme="minorEastAsia"/>
          <w:color w:val="000000" w:themeColor="text1"/>
          <w:lang w:val="en-US"/>
        </w:rPr>
        <w:t>related mainly to Euro excha</w:t>
      </w:r>
      <w:r w:rsidR="007C17EB" w:rsidRPr="009C238A">
        <w:rPr>
          <w:rFonts w:eastAsiaTheme="minorEastAsia"/>
          <w:color w:val="000000" w:themeColor="text1"/>
          <w:lang w:val="en-US"/>
        </w:rPr>
        <w:t>nge rate in the</w:t>
      </w:r>
      <w:r w:rsidR="00D97CD0" w:rsidRPr="009C238A">
        <w:rPr>
          <w:rFonts w:eastAsiaTheme="minorEastAsia"/>
          <w:color w:val="000000" w:themeColor="text1"/>
          <w:lang w:val="en-US"/>
        </w:rPr>
        <w:t xml:space="preserve"> intercompany financing disbursed by the Group’s Parent company to the Australian subsidiary in the local currency (636 thousand euros) and to translation effect on the GE C</w:t>
      </w:r>
      <w:r w:rsidR="007C17EB" w:rsidRPr="009C238A">
        <w:rPr>
          <w:rFonts w:eastAsiaTheme="minorEastAsia"/>
          <w:color w:val="000000" w:themeColor="text1"/>
          <w:lang w:val="en-US"/>
        </w:rPr>
        <w:t>apital borrowing in USD reimbursed</w:t>
      </w:r>
      <w:r w:rsidR="00D97CD0" w:rsidRPr="009C238A">
        <w:rPr>
          <w:rFonts w:eastAsiaTheme="minorEastAsia"/>
          <w:color w:val="000000" w:themeColor="text1"/>
          <w:lang w:val="en-US"/>
        </w:rPr>
        <w:t xml:space="preserve"> in the period (302 thousand euro).</w:t>
      </w:r>
    </w:p>
    <w:p w:rsidR="007C17EB" w:rsidRPr="009C238A" w:rsidRDefault="007C17EB" w:rsidP="00D97CD0">
      <w:pPr>
        <w:widowControl w:val="0"/>
        <w:autoSpaceDE w:val="0"/>
        <w:autoSpaceDN w:val="0"/>
        <w:adjustRightInd w:val="0"/>
        <w:jc w:val="both"/>
        <w:rPr>
          <w:rFonts w:eastAsiaTheme="minorEastAsia"/>
          <w:color w:val="000000" w:themeColor="text1"/>
          <w:lang w:val="en-US"/>
        </w:rPr>
      </w:pPr>
    </w:p>
    <w:p w:rsidR="001F0A48" w:rsidRPr="009C238A" w:rsidRDefault="007C17EB" w:rsidP="007C17EB">
      <w:pPr>
        <w:pStyle w:val="Paragrafoelenco"/>
        <w:tabs>
          <w:tab w:val="left" w:pos="360"/>
        </w:tabs>
        <w:ind w:left="0"/>
        <w:jc w:val="both"/>
        <w:rPr>
          <w:rFonts w:eastAsiaTheme="minorEastAsia"/>
          <w:color w:val="000000" w:themeColor="text1"/>
          <w:lang w:val="en-US"/>
        </w:rPr>
      </w:pPr>
      <w:r w:rsidRPr="009C238A">
        <w:rPr>
          <w:color w:val="000000" w:themeColor="text1"/>
          <w:sz w:val="23"/>
          <w:szCs w:val="23"/>
          <w:lang w:val="en-US"/>
        </w:rPr>
        <w:t xml:space="preserve">In the third quarter of 2013, the fair value of the Group’s financial instruments was positive by 255 thousand euros (positive fair value of 471 thousand euros in the </w:t>
      </w:r>
      <w:r w:rsidRPr="009C238A">
        <w:rPr>
          <w:color w:val="000000" w:themeColor="text1"/>
          <w:lang w:val="en-US"/>
        </w:rPr>
        <w:t>third quarter of 2012</w:t>
      </w:r>
      <w:r w:rsidR="00DF5AF0" w:rsidRPr="009C238A">
        <w:rPr>
          <w:color w:val="000000" w:themeColor="text1"/>
          <w:lang w:val="en-US"/>
        </w:rPr>
        <w:t>)</w:t>
      </w:r>
      <w:r w:rsidRPr="009C238A">
        <w:rPr>
          <w:color w:val="000000" w:themeColor="text1"/>
          <w:lang w:val="en-US"/>
        </w:rPr>
        <w:t>.</w:t>
      </w:r>
      <w:r w:rsidR="001F0A48" w:rsidRPr="009C238A">
        <w:rPr>
          <w:color w:val="000000" w:themeColor="text1"/>
          <w:lang w:val="en-US"/>
        </w:rPr>
        <w:t xml:space="preserve"> This item was recognized for valuation purposes.</w:t>
      </w:r>
      <w:r w:rsidR="001F0A48" w:rsidRPr="009C238A">
        <w:rPr>
          <w:rFonts w:eastAsiaTheme="minorEastAsia"/>
          <w:color w:val="000000" w:themeColor="text1"/>
          <w:lang w:val="en-US"/>
        </w:rPr>
        <w:t xml:space="preserve"> In the first nine months of 20</w:t>
      </w:r>
      <w:r w:rsidR="00176FDF">
        <w:rPr>
          <w:rFonts w:eastAsiaTheme="minorEastAsia"/>
          <w:color w:val="000000" w:themeColor="text1"/>
          <w:lang w:val="en-US"/>
        </w:rPr>
        <w:t xml:space="preserve">13, </w:t>
      </w:r>
      <w:r w:rsidR="001F0A48" w:rsidRPr="009C238A">
        <w:rPr>
          <w:rFonts w:eastAsiaTheme="minorEastAsia"/>
          <w:color w:val="000000" w:themeColor="text1"/>
          <w:lang w:val="en-US"/>
        </w:rPr>
        <w:t>the fair value was negative by 113 thousand euros, compared with a positive fair value of 98 thousand euros in the third quarter of 2012.</w:t>
      </w:r>
    </w:p>
    <w:p w:rsidR="007C17EB" w:rsidRPr="009C238A" w:rsidRDefault="007C17EB" w:rsidP="007C17EB">
      <w:pPr>
        <w:pStyle w:val="Paragrafoelenco"/>
        <w:tabs>
          <w:tab w:val="left" w:pos="360"/>
        </w:tabs>
        <w:ind w:left="0"/>
        <w:jc w:val="both"/>
        <w:rPr>
          <w:color w:val="000000" w:themeColor="text1"/>
          <w:sz w:val="23"/>
          <w:szCs w:val="23"/>
          <w:lang w:val="en-US"/>
        </w:rPr>
      </w:pPr>
    </w:p>
    <w:p w:rsidR="00A017D6" w:rsidRPr="009C238A" w:rsidRDefault="00A017D6" w:rsidP="00A017D6">
      <w:pPr>
        <w:tabs>
          <w:tab w:val="left" w:pos="0"/>
        </w:tabs>
        <w:jc w:val="both"/>
        <w:rPr>
          <w:highlight w:val="yellow"/>
          <w:lang w:val="en-US"/>
        </w:rPr>
      </w:pPr>
      <w:r w:rsidRPr="009C238A">
        <w:rPr>
          <w:color w:val="000000" w:themeColor="text1"/>
          <w:lang w:val="en-US"/>
        </w:rPr>
        <w:t>Interests and other financial expense for the period included 463 thousand euros in factoring transaction fees</w:t>
      </w:r>
      <w:r w:rsidR="00C56BCD" w:rsidRPr="009C238A">
        <w:rPr>
          <w:color w:val="000000" w:themeColor="text1"/>
          <w:lang w:val="en-US"/>
        </w:rPr>
        <w:t xml:space="preserve"> (1,561 thousand euros in</w:t>
      </w:r>
      <w:r w:rsidR="00176FDF">
        <w:rPr>
          <w:color w:val="000000" w:themeColor="text1"/>
          <w:lang w:val="en-US"/>
        </w:rPr>
        <w:t xml:space="preserve"> the first nine months of 2013)</w:t>
      </w:r>
      <w:r w:rsidR="00C56BCD" w:rsidRPr="009C238A">
        <w:rPr>
          <w:color w:val="000000" w:themeColor="text1"/>
          <w:lang w:val="en-US"/>
        </w:rPr>
        <w:t xml:space="preserve"> compared with </w:t>
      </w:r>
      <w:r w:rsidRPr="009C238A">
        <w:rPr>
          <w:color w:val="000000" w:themeColor="text1"/>
          <w:lang w:val="en-US"/>
        </w:rPr>
        <w:t>666 thousand euros in the third</w:t>
      </w:r>
      <w:r w:rsidR="00C56BCD" w:rsidRPr="009C238A">
        <w:rPr>
          <w:color w:val="000000" w:themeColor="text1"/>
          <w:lang w:val="en-US"/>
        </w:rPr>
        <w:t xml:space="preserve"> quarter of 2012 (1,799 thousand euros in the first nine months of 2012)</w:t>
      </w:r>
      <w:r w:rsidRPr="009C238A">
        <w:rPr>
          <w:color w:val="000000" w:themeColor="text1"/>
          <w:lang w:val="en-US"/>
        </w:rPr>
        <w:t>.</w:t>
      </w:r>
    </w:p>
    <w:p w:rsidR="009072DB" w:rsidRPr="009C238A" w:rsidRDefault="009072DB" w:rsidP="009072DB">
      <w:pPr>
        <w:tabs>
          <w:tab w:val="left" w:pos="360"/>
        </w:tabs>
        <w:jc w:val="both"/>
        <w:rPr>
          <w:highlight w:val="yellow"/>
          <w:lang w:val="en-US"/>
        </w:rPr>
      </w:pPr>
    </w:p>
    <w:p w:rsidR="009072DB" w:rsidRPr="009C238A" w:rsidRDefault="009072DB" w:rsidP="009072DB">
      <w:pPr>
        <w:tabs>
          <w:tab w:val="left" w:pos="360"/>
        </w:tabs>
        <w:jc w:val="both"/>
        <w:rPr>
          <w:highlight w:val="yellow"/>
          <w:lang w:val="en-US"/>
        </w:rPr>
      </w:pPr>
    </w:p>
    <w:p w:rsidR="009072DB" w:rsidRPr="009C238A" w:rsidRDefault="009072DB" w:rsidP="009072DB">
      <w:pPr>
        <w:spacing w:after="200" w:line="276" w:lineRule="auto"/>
        <w:rPr>
          <w:b/>
          <w:lang w:val="en-US"/>
        </w:rPr>
      </w:pPr>
      <w:r w:rsidRPr="009C238A">
        <w:rPr>
          <w:b/>
          <w:lang w:val="en-US"/>
        </w:rPr>
        <w:t>(8)</w:t>
      </w:r>
      <w:r w:rsidR="00C56BCD" w:rsidRPr="009C238A">
        <w:rPr>
          <w:b/>
          <w:lang w:val="en-US"/>
        </w:rPr>
        <w:t xml:space="preserve"> I</w:t>
      </w:r>
      <w:r w:rsidR="008351E3" w:rsidRPr="009C238A">
        <w:rPr>
          <w:b/>
          <w:lang w:val="en-US"/>
        </w:rPr>
        <w:t>n</w:t>
      </w:r>
      <w:r w:rsidR="00C56BCD" w:rsidRPr="009C238A">
        <w:rPr>
          <w:b/>
          <w:lang w:val="en-US"/>
        </w:rPr>
        <w:t>come taxes</w:t>
      </w:r>
    </w:p>
    <w:p w:rsidR="009072DB" w:rsidRPr="009C238A" w:rsidRDefault="00C56BCD" w:rsidP="009072DB">
      <w:pPr>
        <w:spacing w:before="240" w:line="240" w:lineRule="atLeast"/>
        <w:ind w:right="-54"/>
        <w:jc w:val="both"/>
        <w:rPr>
          <w:lang w:val="en-US"/>
        </w:rPr>
      </w:pPr>
      <w:r w:rsidRPr="009C238A">
        <w:rPr>
          <w:lang w:val="en-US"/>
        </w:rPr>
        <w:t>The income tax expense recognized in the income statement for the third quarter of 2013 amounted to 10,764 thousand eu</w:t>
      </w:r>
      <w:r w:rsidR="008351E3" w:rsidRPr="009C238A">
        <w:rPr>
          <w:lang w:val="en-US"/>
        </w:rPr>
        <w:t>ros (</w:t>
      </w:r>
      <w:r w:rsidRPr="009C238A">
        <w:rPr>
          <w:lang w:val="en-US"/>
        </w:rPr>
        <w:t>12,410 thousand euros in the same period in 2012)</w:t>
      </w:r>
      <w:r w:rsidR="008351E3" w:rsidRPr="009C238A">
        <w:rPr>
          <w:lang w:val="en-US"/>
        </w:rPr>
        <w:t>.</w:t>
      </w:r>
    </w:p>
    <w:p w:rsidR="008351E3" w:rsidRPr="009C238A" w:rsidRDefault="008351E3" w:rsidP="009072DB">
      <w:pPr>
        <w:spacing w:before="240" w:line="240" w:lineRule="atLeast"/>
        <w:ind w:right="-54"/>
        <w:jc w:val="both"/>
        <w:rPr>
          <w:lang w:val="en-US"/>
        </w:rPr>
      </w:pPr>
      <w:r w:rsidRPr="009C238A">
        <w:rPr>
          <w:lang w:val="en-US"/>
        </w:rPr>
        <w:t>In the third quarter of 2013 the tax burden was equal to 35% of the profit before taxes (36.7% in the third quarter of 2012).</w:t>
      </w:r>
    </w:p>
    <w:p w:rsidR="00501D52" w:rsidRPr="009C238A" w:rsidRDefault="00501D52" w:rsidP="009072DB">
      <w:pPr>
        <w:spacing w:before="240" w:line="240" w:lineRule="atLeast"/>
        <w:ind w:right="-54"/>
        <w:jc w:val="both"/>
        <w:rPr>
          <w:lang w:val="en-US"/>
        </w:rPr>
      </w:pPr>
      <w:r w:rsidRPr="009C238A">
        <w:rPr>
          <w:lang w:val="en-US"/>
        </w:rPr>
        <w:t>At September 30, 2013 the income tax expense amounted to 36,437 thousand euros (39,972 thousand euros at September 30,</w:t>
      </w:r>
      <w:r w:rsidR="00062270" w:rsidRPr="009C238A">
        <w:rPr>
          <w:lang w:val="en-US"/>
        </w:rPr>
        <w:t xml:space="preserve"> 2012) with a 37.4% tax rate, substantially in line</w:t>
      </w:r>
      <w:r w:rsidRPr="009C238A">
        <w:rPr>
          <w:lang w:val="en-US"/>
        </w:rPr>
        <w:t xml:space="preserve"> with </w:t>
      </w:r>
      <w:r w:rsidR="00062270" w:rsidRPr="009C238A">
        <w:rPr>
          <w:lang w:val="en-US"/>
        </w:rPr>
        <w:t>2012.</w:t>
      </w:r>
    </w:p>
    <w:p w:rsidR="002E26D1" w:rsidRPr="009C238A" w:rsidRDefault="002E26D1" w:rsidP="009072DB">
      <w:pPr>
        <w:spacing w:before="240" w:line="240" w:lineRule="atLeast"/>
        <w:ind w:right="-54"/>
        <w:jc w:val="both"/>
        <w:rPr>
          <w:highlight w:val="yellow"/>
          <w:lang w:val="en-US"/>
        </w:rPr>
      </w:pPr>
    </w:p>
    <w:p w:rsidR="009072DB" w:rsidRPr="009C238A" w:rsidRDefault="009072DB" w:rsidP="009072DB">
      <w:pPr>
        <w:jc w:val="both"/>
        <w:rPr>
          <w:highlight w:val="yellow"/>
          <w:lang w:val="en-US"/>
        </w:rPr>
      </w:pPr>
    </w:p>
    <w:p w:rsidR="00B107C0" w:rsidRPr="009C238A" w:rsidRDefault="009072DB" w:rsidP="00B107C0">
      <w:pPr>
        <w:tabs>
          <w:tab w:val="left" w:pos="567"/>
          <w:tab w:val="left" w:pos="5966"/>
          <w:tab w:val="center" w:pos="7218"/>
          <w:tab w:val="center" w:pos="9180"/>
        </w:tabs>
        <w:jc w:val="both"/>
        <w:rPr>
          <w:b/>
          <w:bCs/>
          <w:sz w:val="23"/>
          <w:szCs w:val="23"/>
          <w:lang w:val="en-US"/>
        </w:rPr>
      </w:pPr>
      <w:r w:rsidRPr="009C238A">
        <w:rPr>
          <w:b/>
          <w:lang w:val="en-US"/>
        </w:rPr>
        <w:t xml:space="preserve">(9) </w:t>
      </w:r>
      <w:r w:rsidR="00B107C0" w:rsidRPr="009C238A">
        <w:rPr>
          <w:b/>
          <w:bCs/>
          <w:sz w:val="23"/>
          <w:szCs w:val="23"/>
          <w:lang w:val="en-US"/>
        </w:rPr>
        <w:t>Earnings per share</w:t>
      </w:r>
    </w:p>
    <w:p w:rsidR="00B107C0" w:rsidRPr="009C238A" w:rsidRDefault="00B107C0" w:rsidP="00B107C0">
      <w:pPr>
        <w:tabs>
          <w:tab w:val="left" w:pos="567"/>
          <w:tab w:val="left" w:pos="5966"/>
          <w:tab w:val="center" w:pos="7218"/>
          <w:tab w:val="center" w:pos="9180"/>
        </w:tabs>
        <w:jc w:val="both"/>
        <w:rPr>
          <w:lang w:val="en-US"/>
        </w:rPr>
      </w:pPr>
    </w:p>
    <w:p w:rsidR="00B107C0" w:rsidRPr="009C238A" w:rsidRDefault="00B107C0" w:rsidP="00B107C0">
      <w:pPr>
        <w:widowControl w:val="0"/>
        <w:autoSpaceDE w:val="0"/>
        <w:autoSpaceDN w:val="0"/>
        <w:adjustRightInd w:val="0"/>
        <w:jc w:val="both"/>
        <w:rPr>
          <w:color w:val="000000"/>
          <w:sz w:val="23"/>
          <w:szCs w:val="23"/>
          <w:lang w:val="en-US"/>
        </w:rPr>
      </w:pPr>
      <w:r w:rsidRPr="009C238A">
        <w:rPr>
          <w:color w:val="000000"/>
          <w:sz w:val="23"/>
          <w:szCs w:val="23"/>
          <w:lang w:val="en-US"/>
        </w:rPr>
        <w:t>Basic earnings per share, which amounted to 1.12 euros in the first nine months of 2013, compared with 1.23 euros in the same period in 2012, were computed by dividing the net result attributable to shareholders by the weighted average number of shares outstanding for the period (54,349</w:t>
      </w:r>
      <w:r w:rsidR="002E26D1" w:rsidRPr="009C238A">
        <w:rPr>
          <w:color w:val="000000"/>
          <w:sz w:val="23"/>
          <w:szCs w:val="23"/>
          <w:lang w:val="en-US"/>
        </w:rPr>
        <w:t xml:space="preserve"> million at September 30</w:t>
      </w:r>
      <w:r w:rsidRPr="009C238A">
        <w:rPr>
          <w:color w:val="000000"/>
          <w:sz w:val="23"/>
          <w:szCs w:val="23"/>
          <w:lang w:val="en-US"/>
        </w:rPr>
        <w:t xml:space="preserve">, 2013). </w:t>
      </w:r>
    </w:p>
    <w:p w:rsidR="002E26D1" w:rsidRPr="009C238A" w:rsidRDefault="002E26D1" w:rsidP="00B107C0">
      <w:pPr>
        <w:widowControl w:val="0"/>
        <w:autoSpaceDE w:val="0"/>
        <w:autoSpaceDN w:val="0"/>
        <w:adjustRightInd w:val="0"/>
        <w:jc w:val="both"/>
        <w:rPr>
          <w:color w:val="000000"/>
          <w:sz w:val="23"/>
          <w:szCs w:val="23"/>
          <w:lang w:val="en-US"/>
        </w:rPr>
      </w:pPr>
    </w:p>
    <w:p w:rsidR="000F0ED2" w:rsidRPr="00866117" w:rsidRDefault="00B107C0" w:rsidP="000F0ED2">
      <w:pPr>
        <w:spacing w:before="240" w:line="240" w:lineRule="atLeast"/>
        <w:ind w:right="-54"/>
        <w:jc w:val="both"/>
        <w:rPr>
          <w:highlight w:val="yellow"/>
          <w:lang w:val="en-US"/>
        </w:rPr>
      </w:pPr>
      <w:r w:rsidRPr="009C238A">
        <w:rPr>
          <w:color w:val="000000"/>
          <w:sz w:val="23"/>
          <w:szCs w:val="23"/>
          <w:lang w:val="en-US"/>
        </w:rPr>
        <w:t xml:space="preserve">Diluted earnings per share also amounted </w:t>
      </w:r>
      <w:r w:rsidR="002E26D1" w:rsidRPr="009C238A">
        <w:rPr>
          <w:color w:val="000000"/>
          <w:sz w:val="23"/>
          <w:szCs w:val="23"/>
          <w:lang w:val="en-US"/>
        </w:rPr>
        <w:t xml:space="preserve">to 1.12 euros in the first nine months of 2013, compared with 1.23 euros in the same period in </w:t>
      </w:r>
      <w:r w:rsidR="002E26D1" w:rsidRPr="00866117">
        <w:rPr>
          <w:color w:val="000000"/>
          <w:sz w:val="23"/>
          <w:szCs w:val="23"/>
          <w:lang w:val="en-US"/>
        </w:rPr>
        <w:t>2012</w:t>
      </w:r>
      <w:r w:rsidR="000F0ED2" w:rsidRPr="00866117">
        <w:rPr>
          <w:color w:val="000000"/>
          <w:sz w:val="23"/>
          <w:szCs w:val="23"/>
          <w:lang w:val="en-US"/>
        </w:rPr>
        <w:t xml:space="preserve">: </w:t>
      </w:r>
      <w:r w:rsidR="006263D0" w:rsidRPr="00866117">
        <w:rPr>
          <w:sz w:val="23"/>
          <w:szCs w:val="23"/>
          <w:lang w:val="en-US"/>
        </w:rPr>
        <w:t>the average number of “potentially dilutive” shares resulting from the hypothetical exercise of stock options, based on plan regulations, that were taken into account to determine dilute earning did not have a material diluting effect.</w:t>
      </w:r>
    </w:p>
    <w:p w:rsidR="00B107C0" w:rsidRPr="00866117" w:rsidRDefault="00B107C0" w:rsidP="00B107C0">
      <w:pPr>
        <w:widowControl w:val="0"/>
        <w:autoSpaceDE w:val="0"/>
        <w:autoSpaceDN w:val="0"/>
        <w:adjustRightInd w:val="0"/>
        <w:jc w:val="both"/>
        <w:rPr>
          <w:highlight w:val="yellow"/>
          <w:lang w:val="en-US"/>
        </w:rPr>
      </w:pPr>
    </w:p>
    <w:p w:rsidR="009072DB" w:rsidRPr="00866117" w:rsidRDefault="006263D0" w:rsidP="006263D0">
      <w:pPr>
        <w:tabs>
          <w:tab w:val="left" w:pos="907"/>
        </w:tabs>
        <w:jc w:val="both"/>
        <w:rPr>
          <w:highlight w:val="yellow"/>
          <w:lang w:val="en-US"/>
        </w:rPr>
      </w:pPr>
      <w:r w:rsidRPr="00866117">
        <w:rPr>
          <w:color w:val="000000"/>
          <w:sz w:val="23"/>
          <w:szCs w:val="23"/>
          <w:lang w:val="en-US"/>
        </w:rPr>
        <w:t>Basic earnings per share and diluted earnings per share amounted to 0.37 euros in the third quarter of 2013 and 0.39 euros in the third quarter of 2012, respectively.</w:t>
      </w:r>
    </w:p>
    <w:p w:rsidR="009072DB" w:rsidRPr="00866117" w:rsidRDefault="009072DB" w:rsidP="009072DB">
      <w:pPr>
        <w:pStyle w:val="Intestazione"/>
        <w:tabs>
          <w:tab w:val="clear" w:pos="4819"/>
          <w:tab w:val="left" w:pos="0"/>
          <w:tab w:val="center" w:pos="1843"/>
        </w:tabs>
        <w:rPr>
          <w:b/>
          <w:highlight w:val="yellow"/>
          <w:u w:val="single"/>
          <w:lang w:val="en-US"/>
        </w:rPr>
      </w:pPr>
      <w:r w:rsidRPr="00866117">
        <w:rPr>
          <w:b/>
          <w:highlight w:val="yellow"/>
          <w:u w:val="single"/>
          <w:lang w:val="en-US"/>
        </w:rPr>
        <w:br w:type="page"/>
      </w:r>
    </w:p>
    <w:p w:rsidR="009072DB" w:rsidRPr="009C238A" w:rsidRDefault="008419E3" w:rsidP="009072DB">
      <w:pPr>
        <w:pStyle w:val="Intestazione"/>
        <w:tabs>
          <w:tab w:val="clear" w:pos="4819"/>
          <w:tab w:val="left" w:pos="240"/>
          <w:tab w:val="center" w:pos="1843"/>
        </w:tabs>
        <w:jc w:val="both"/>
        <w:rPr>
          <w:b/>
          <w:bCs/>
          <w:color w:val="000000" w:themeColor="text1"/>
          <w:lang w:val="en-US"/>
        </w:rPr>
      </w:pPr>
      <w:r w:rsidRPr="009C238A">
        <w:rPr>
          <w:b/>
          <w:bCs/>
          <w:color w:val="000000" w:themeColor="text1"/>
          <w:lang w:val="en-US"/>
        </w:rPr>
        <w:t>CONSOLIDATED STATEMENT OF FINANCIAL POSITION</w:t>
      </w:r>
    </w:p>
    <w:p w:rsidR="009072DB" w:rsidRPr="009C238A" w:rsidRDefault="009072DB" w:rsidP="009072DB">
      <w:pPr>
        <w:pStyle w:val="Intestazione"/>
        <w:tabs>
          <w:tab w:val="clear" w:pos="4819"/>
          <w:tab w:val="left" w:pos="240"/>
          <w:tab w:val="center" w:pos="1843"/>
        </w:tabs>
        <w:jc w:val="both"/>
        <w:rPr>
          <w:b/>
          <w:color w:val="000000" w:themeColor="text1"/>
          <w:lang w:val="en-US"/>
        </w:rPr>
      </w:pPr>
    </w:p>
    <w:p w:rsidR="009072DB" w:rsidRPr="009C238A" w:rsidRDefault="009072DB" w:rsidP="009072DB">
      <w:pPr>
        <w:pStyle w:val="Intestazione"/>
        <w:tabs>
          <w:tab w:val="clear" w:pos="4819"/>
          <w:tab w:val="left" w:pos="240"/>
          <w:tab w:val="center" w:pos="1843"/>
        </w:tabs>
        <w:jc w:val="both"/>
        <w:rPr>
          <w:b/>
          <w:bCs/>
          <w:color w:val="000000" w:themeColor="text1"/>
          <w:lang w:val="en-US"/>
        </w:rPr>
      </w:pPr>
      <w:r w:rsidRPr="009C238A">
        <w:rPr>
          <w:b/>
          <w:color w:val="000000" w:themeColor="text1"/>
          <w:lang w:val="en-US"/>
        </w:rPr>
        <w:t xml:space="preserve">(10) </w:t>
      </w:r>
      <w:r w:rsidRPr="009C238A">
        <w:rPr>
          <w:b/>
          <w:bCs/>
          <w:color w:val="000000" w:themeColor="text1"/>
          <w:lang w:val="en-US"/>
        </w:rPr>
        <w:t>Property, plant and equipment</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The table below shows the changes that occurred in this account as of September 30, 2013:</w:t>
      </w:r>
    </w:p>
    <w:p w:rsidR="009072DB" w:rsidRPr="009C238A" w:rsidRDefault="009072DB" w:rsidP="009072DB">
      <w:pPr>
        <w:spacing w:before="240" w:line="240" w:lineRule="atLeast"/>
        <w:ind w:right="-54"/>
        <w:jc w:val="both"/>
        <w:rPr>
          <w:lang w:val="en-US"/>
        </w:rPr>
      </w:pPr>
    </w:p>
    <w:tbl>
      <w:tblPr>
        <w:tblW w:w="4961" w:type="pct"/>
        <w:tblCellMar>
          <w:left w:w="70" w:type="dxa"/>
          <w:right w:w="70" w:type="dxa"/>
        </w:tblCellMar>
        <w:tblLook w:val="04A0"/>
      </w:tblPr>
      <w:tblGrid>
        <w:gridCol w:w="2855"/>
        <w:gridCol w:w="834"/>
        <w:gridCol w:w="807"/>
        <w:gridCol w:w="1036"/>
        <w:gridCol w:w="1076"/>
        <w:gridCol w:w="941"/>
        <w:gridCol w:w="1269"/>
        <w:gridCol w:w="878"/>
      </w:tblGrid>
      <w:tr w:rsidR="009072DB" w:rsidRPr="009C238A" w:rsidTr="009072DB">
        <w:trPr>
          <w:trHeight w:val="645"/>
        </w:trPr>
        <w:tc>
          <w:tcPr>
            <w:tcW w:w="1473" w:type="pct"/>
            <w:tcBorders>
              <w:top w:val="single" w:sz="8" w:space="0" w:color="auto"/>
              <w:left w:val="nil"/>
              <w:bottom w:val="single" w:sz="8" w:space="0" w:color="auto"/>
              <w:right w:val="nil"/>
            </w:tcBorders>
            <w:shd w:val="clear" w:color="auto" w:fill="auto"/>
            <w:vAlign w:val="bottom"/>
            <w:hideMark/>
          </w:tcPr>
          <w:p w:rsidR="009072DB" w:rsidRPr="009C238A" w:rsidRDefault="009072DB" w:rsidP="009072DB">
            <w:pPr>
              <w:rPr>
                <w:i/>
                <w:iCs/>
                <w:color w:val="000000" w:themeColor="text1"/>
                <w:sz w:val="16"/>
                <w:szCs w:val="16"/>
                <w:lang w:val="en-US"/>
              </w:rPr>
            </w:pPr>
            <w:r w:rsidRPr="009C238A">
              <w:rPr>
                <w:i/>
                <w:iCs/>
                <w:color w:val="000000" w:themeColor="text1"/>
                <w:sz w:val="16"/>
                <w:szCs w:val="16"/>
                <w:lang w:val="en-US"/>
              </w:rPr>
              <w:t>(in thousands of euros)</w:t>
            </w:r>
          </w:p>
        </w:tc>
        <w:tc>
          <w:tcPr>
            <w:tcW w:w="430" w:type="pct"/>
            <w:tcBorders>
              <w:top w:val="single" w:sz="8" w:space="0" w:color="auto"/>
              <w:left w:val="nil"/>
              <w:bottom w:val="single" w:sz="8" w:space="0" w:color="auto"/>
              <w:right w:val="nil"/>
            </w:tcBorders>
            <w:shd w:val="clear" w:color="auto" w:fill="auto"/>
            <w:vAlign w:val="bottom"/>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At December 31, 2012</w:t>
            </w:r>
          </w:p>
        </w:tc>
        <w:tc>
          <w:tcPr>
            <w:tcW w:w="416" w:type="pct"/>
            <w:tcBorders>
              <w:top w:val="single" w:sz="8" w:space="0" w:color="auto"/>
              <w:left w:val="nil"/>
              <w:bottom w:val="single" w:sz="8" w:space="0" w:color="auto"/>
              <w:right w:val="nil"/>
            </w:tcBorders>
            <w:shd w:val="clear" w:color="auto" w:fill="auto"/>
            <w:vAlign w:val="bottom"/>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Additions</w:t>
            </w:r>
          </w:p>
        </w:tc>
        <w:tc>
          <w:tcPr>
            <w:tcW w:w="534" w:type="pct"/>
            <w:tcBorders>
              <w:top w:val="single" w:sz="8" w:space="0" w:color="auto"/>
              <w:left w:val="nil"/>
              <w:bottom w:val="single" w:sz="8" w:space="0" w:color="auto"/>
              <w:right w:val="nil"/>
            </w:tcBorders>
            <w:shd w:val="clear" w:color="auto" w:fill="auto"/>
            <w:vAlign w:val="bottom"/>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Depreciation</w:t>
            </w:r>
          </w:p>
        </w:tc>
        <w:tc>
          <w:tcPr>
            <w:tcW w:w="555" w:type="pct"/>
            <w:tcBorders>
              <w:top w:val="single" w:sz="8" w:space="0" w:color="auto"/>
              <w:left w:val="nil"/>
              <w:bottom w:val="single" w:sz="8" w:space="0" w:color="auto"/>
              <w:right w:val="nil"/>
            </w:tcBorders>
            <w:shd w:val="clear" w:color="auto" w:fill="auto"/>
            <w:vAlign w:val="bottom"/>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Retirements</w:t>
            </w:r>
          </w:p>
        </w:tc>
        <w:tc>
          <w:tcPr>
            <w:tcW w:w="485" w:type="pct"/>
            <w:tcBorders>
              <w:top w:val="single" w:sz="8" w:space="0" w:color="auto"/>
              <w:left w:val="nil"/>
              <w:bottom w:val="single" w:sz="8" w:space="0" w:color="auto"/>
              <w:right w:val="nil"/>
            </w:tcBorders>
            <w:shd w:val="clear" w:color="auto" w:fill="auto"/>
            <w:vAlign w:val="bottom"/>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Translation adjustment</w:t>
            </w:r>
          </w:p>
        </w:tc>
        <w:tc>
          <w:tcPr>
            <w:tcW w:w="654" w:type="pct"/>
            <w:tcBorders>
              <w:top w:val="single" w:sz="8" w:space="0" w:color="auto"/>
              <w:left w:val="nil"/>
              <w:bottom w:val="single" w:sz="8" w:space="0" w:color="auto"/>
              <w:right w:val="nil"/>
            </w:tcBorders>
            <w:shd w:val="clear" w:color="auto" w:fill="auto"/>
            <w:vAlign w:val="bottom"/>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Reclassifications and other changes</w:t>
            </w:r>
          </w:p>
        </w:tc>
        <w:tc>
          <w:tcPr>
            <w:tcW w:w="453" w:type="pct"/>
            <w:tcBorders>
              <w:top w:val="single" w:sz="8" w:space="0" w:color="auto"/>
              <w:left w:val="nil"/>
              <w:bottom w:val="single" w:sz="8" w:space="0" w:color="auto"/>
              <w:right w:val="nil"/>
            </w:tcBorders>
            <w:shd w:val="clear" w:color="auto" w:fill="auto"/>
            <w:vAlign w:val="bottom"/>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At September 30, 2013</w:t>
            </w:r>
          </w:p>
        </w:tc>
      </w:tr>
      <w:tr w:rsidR="009072DB" w:rsidRPr="009C238A" w:rsidTr="009072DB">
        <w:trPr>
          <w:trHeight w:val="255"/>
        </w:trPr>
        <w:tc>
          <w:tcPr>
            <w:tcW w:w="1473"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Land</w:t>
            </w:r>
          </w:p>
        </w:tc>
        <w:tc>
          <w:tcPr>
            <w:tcW w:w="43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2,323</w:t>
            </w:r>
          </w:p>
        </w:tc>
        <w:tc>
          <w:tcPr>
            <w:tcW w:w="416"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534"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555"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485"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(5)</w:t>
            </w:r>
          </w:p>
        </w:tc>
        <w:tc>
          <w:tcPr>
            <w:tcW w:w="65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45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2,318</w:t>
            </w:r>
          </w:p>
        </w:tc>
      </w:tr>
      <w:tr w:rsidR="009072DB" w:rsidRPr="009C238A" w:rsidTr="009072DB">
        <w:trPr>
          <w:trHeight w:val="255"/>
        </w:trPr>
        <w:tc>
          <w:tcPr>
            <w:tcW w:w="1473"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Buildings</w:t>
            </w:r>
          </w:p>
        </w:tc>
        <w:tc>
          <w:tcPr>
            <w:tcW w:w="43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5,588</w:t>
            </w:r>
          </w:p>
        </w:tc>
        <w:tc>
          <w:tcPr>
            <w:tcW w:w="41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44</w:t>
            </w:r>
          </w:p>
        </w:tc>
        <w:tc>
          <w:tcPr>
            <w:tcW w:w="53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594</w:t>
            </w:r>
          </w:p>
        </w:tc>
        <w:tc>
          <w:tcPr>
            <w:tcW w:w="555"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485"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(49)</w:t>
            </w:r>
          </w:p>
        </w:tc>
        <w:tc>
          <w:tcPr>
            <w:tcW w:w="65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87</w:t>
            </w:r>
          </w:p>
        </w:tc>
        <w:tc>
          <w:tcPr>
            <w:tcW w:w="45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5,076</w:t>
            </w:r>
          </w:p>
        </w:tc>
      </w:tr>
      <w:tr w:rsidR="009072DB" w:rsidRPr="009C238A" w:rsidTr="009072DB">
        <w:trPr>
          <w:trHeight w:val="255"/>
        </w:trPr>
        <w:tc>
          <w:tcPr>
            <w:tcW w:w="1473"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Plant and machinery</w:t>
            </w:r>
          </w:p>
        </w:tc>
        <w:tc>
          <w:tcPr>
            <w:tcW w:w="43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5,977</w:t>
            </w:r>
          </w:p>
        </w:tc>
        <w:tc>
          <w:tcPr>
            <w:tcW w:w="41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1,422</w:t>
            </w:r>
          </w:p>
        </w:tc>
        <w:tc>
          <w:tcPr>
            <w:tcW w:w="53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845</w:t>
            </w:r>
          </w:p>
        </w:tc>
        <w:tc>
          <w:tcPr>
            <w:tcW w:w="555"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w:t>
            </w:r>
          </w:p>
        </w:tc>
        <w:tc>
          <w:tcPr>
            <w:tcW w:w="485"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(150)</w:t>
            </w:r>
          </w:p>
        </w:tc>
        <w:tc>
          <w:tcPr>
            <w:tcW w:w="65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656</w:t>
            </w:r>
          </w:p>
        </w:tc>
        <w:tc>
          <w:tcPr>
            <w:tcW w:w="45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7,058</w:t>
            </w:r>
          </w:p>
        </w:tc>
      </w:tr>
      <w:tr w:rsidR="009072DB" w:rsidRPr="009C238A" w:rsidTr="009072DB">
        <w:trPr>
          <w:trHeight w:val="255"/>
        </w:trPr>
        <w:tc>
          <w:tcPr>
            <w:tcW w:w="1473"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Manufacturing and distribution equipment</w:t>
            </w:r>
          </w:p>
        </w:tc>
        <w:tc>
          <w:tcPr>
            <w:tcW w:w="43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40,002</w:t>
            </w:r>
          </w:p>
        </w:tc>
        <w:tc>
          <w:tcPr>
            <w:tcW w:w="41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15,857</w:t>
            </w:r>
          </w:p>
        </w:tc>
        <w:tc>
          <w:tcPr>
            <w:tcW w:w="53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13,238</w:t>
            </w:r>
          </w:p>
        </w:tc>
        <w:tc>
          <w:tcPr>
            <w:tcW w:w="555"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2,048</w:t>
            </w:r>
          </w:p>
        </w:tc>
        <w:tc>
          <w:tcPr>
            <w:tcW w:w="485"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(1,098)</w:t>
            </w:r>
          </w:p>
        </w:tc>
        <w:tc>
          <w:tcPr>
            <w:tcW w:w="65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205</w:t>
            </w:r>
          </w:p>
        </w:tc>
        <w:tc>
          <w:tcPr>
            <w:tcW w:w="45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39,680</w:t>
            </w:r>
          </w:p>
        </w:tc>
      </w:tr>
      <w:tr w:rsidR="009072DB" w:rsidRPr="009C238A" w:rsidTr="009072DB">
        <w:trPr>
          <w:trHeight w:val="255"/>
        </w:trPr>
        <w:tc>
          <w:tcPr>
            <w:tcW w:w="1473"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Other assets</w:t>
            </w:r>
          </w:p>
        </w:tc>
        <w:tc>
          <w:tcPr>
            <w:tcW w:w="43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6,466</w:t>
            </w:r>
          </w:p>
        </w:tc>
        <w:tc>
          <w:tcPr>
            <w:tcW w:w="41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1,042</w:t>
            </w:r>
          </w:p>
        </w:tc>
        <w:tc>
          <w:tcPr>
            <w:tcW w:w="53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994</w:t>
            </w:r>
          </w:p>
        </w:tc>
        <w:tc>
          <w:tcPr>
            <w:tcW w:w="555"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31</w:t>
            </w:r>
          </w:p>
        </w:tc>
        <w:tc>
          <w:tcPr>
            <w:tcW w:w="485"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(146)</w:t>
            </w:r>
          </w:p>
        </w:tc>
        <w:tc>
          <w:tcPr>
            <w:tcW w:w="654"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45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6,337</w:t>
            </w:r>
          </w:p>
        </w:tc>
      </w:tr>
      <w:tr w:rsidR="009072DB" w:rsidRPr="009C238A" w:rsidTr="009072DB">
        <w:trPr>
          <w:trHeight w:val="270"/>
        </w:trPr>
        <w:tc>
          <w:tcPr>
            <w:tcW w:w="1473" w:type="pct"/>
            <w:tcBorders>
              <w:top w:val="nil"/>
              <w:left w:val="nil"/>
              <w:bottom w:val="single" w:sz="8" w:space="0" w:color="auto"/>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Construction in progress and advances</w:t>
            </w:r>
          </w:p>
        </w:tc>
        <w:tc>
          <w:tcPr>
            <w:tcW w:w="430"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4,960</w:t>
            </w:r>
          </w:p>
        </w:tc>
        <w:tc>
          <w:tcPr>
            <w:tcW w:w="416"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1,685</w:t>
            </w:r>
          </w:p>
        </w:tc>
        <w:tc>
          <w:tcPr>
            <w:tcW w:w="534"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555" w:type="pct"/>
            <w:tcBorders>
              <w:top w:val="nil"/>
              <w:left w:val="nil"/>
              <w:bottom w:val="single" w:sz="8" w:space="0" w:color="auto"/>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337</w:t>
            </w:r>
          </w:p>
        </w:tc>
        <w:tc>
          <w:tcPr>
            <w:tcW w:w="485"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(64)</w:t>
            </w:r>
          </w:p>
        </w:tc>
        <w:tc>
          <w:tcPr>
            <w:tcW w:w="654"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(1,531)</w:t>
            </w:r>
          </w:p>
        </w:tc>
        <w:tc>
          <w:tcPr>
            <w:tcW w:w="453"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4,713</w:t>
            </w:r>
          </w:p>
        </w:tc>
      </w:tr>
      <w:tr w:rsidR="009072DB" w:rsidRPr="009C238A" w:rsidTr="009072DB">
        <w:trPr>
          <w:trHeight w:val="270"/>
        </w:trPr>
        <w:tc>
          <w:tcPr>
            <w:tcW w:w="1473" w:type="pct"/>
            <w:tcBorders>
              <w:top w:val="nil"/>
              <w:left w:val="nil"/>
              <w:bottom w:val="single" w:sz="8" w:space="0" w:color="auto"/>
              <w:right w:val="nil"/>
            </w:tcBorders>
            <w:shd w:val="clear" w:color="auto" w:fill="auto"/>
            <w:noWrap/>
            <w:vAlign w:val="center"/>
            <w:hideMark/>
          </w:tcPr>
          <w:p w:rsidR="009072DB" w:rsidRPr="009C238A" w:rsidRDefault="009072DB" w:rsidP="009072DB">
            <w:pPr>
              <w:rPr>
                <w:b/>
                <w:bCs/>
                <w:color w:val="000000" w:themeColor="text1"/>
                <w:sz w:val="16"/>
                <w:szCs w:val="16"/>
                <w:lang w:val="en-US"/>
              </w:rPr>
            </w:pPr>
            <w:r w:rsidRPr="009C238A">
              <w:rPr>
                <w:b/>
                <w:bCs/>
                <w:color w:val="000000" w:themeColor="text1"/>
                <w:sz w:val="16"/>
                <w:szCs w:val="16"/>
                <w:lang w:val="en-US"/>
              </w:rPr>
              <w:t>Total property, plant and equipment</w:t>
            </w:r>
          </w:p>
        </w:tc>
        <w:tc>
          <w:tcPr>
            <w:tcW w:w="430"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65,316</w:t>
            </w:r>
          </w:p>
        </w:tc>
        <w:tc>
          <w:tcPr>
            <w:tcW w:w="416"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20,050</w:t>
            </w:r>
          </w:p>
        </w:tc>
        <w:tc>
          <w:tcPr>
            <w:tcW w:w="534"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15,671</w:t>
            </w:r>
          </w:p>
        </w:tc>
        <w:tc>
          <w:tcPr>
            <w:tcW w:w="555"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2,418</w:t>
            </w:r>
          </w:p>
        </w:tc>
        <w:tc>
          <w:tcPr>
            <w:tcW w:w="485"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(1,512)</w:t>
            </w:r>
          </w:p>
        </w:tc>
        <w:tc>
          <w:tcPr>
            <w:tcW w:w="654"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(583)</w:t>
            </w:r>
          </w:p>
        </w:tc>
        <w:tc>
          <w:tcPr>
            <w:tcW w:w="453" w:type="pct"/>
            <w:tcBorders>
              <w:top w:val="nil"/>
              <w:left w:val="nil"/>
              <w:bottom w:val="single" w:sz="8"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65,182</w:t>
            </w:r>
          </w:p>
        </w:tc>
      </w:tr>
    </w:tbl>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 xml:space="preserve">Additions to manufacturing and distribution equipment include purchases of medical equipment amounting to </w:t>
      </w:r>
      <w:r w:rsidRPr="009C238A">
        <w:rPr>
          <w:lang w:val="en-US"/>
        </w:rPr>
        <w:t xml:space="preserve">14,428 </w:t>
      </w:r>
      <w:r w:rsidRPr="009C238A">
        <w:rPr>
          <w:color w:val="000000" w:themeColor="text1"/>
          <w:lang w:val="en-US"/>
        </w:rPr>
        <w:t xml:space="preserve">thousand euros, down from </w:t>
      </w:r>
      <w:r w:rsidRPr="009C238A">
        <w:rPr>
          <w:lang w:val="en-US"/>
        </w:rPr>
        <w:t xml:space="preserve">14,901 </w:t>
      </w:r>
      <w:r w:rsidRPr="009C238A">
        <w:rPr>
          <w:color w:val="000000" w:themeColor="text1"/>
          <w:lang w:val="en-US"/>
        </w:rPr>
        <w:t>thousand euros at September 30, 2012. In the first nine months of 2013, depreciation for the period totaled</w:t>
      </w:r>
      <w:r w:rsidRPr="009C238A">
        <w:rPr>
          <w:lang w:val="en-US"/>
        </w:rPr>
        <w:t xml:space="preserve"> 10,954 </w:t>
      </w:r>
      <w:r w:rsidRPr="009C238A">
        <w:rPr>
          <w:color w:val="000000" w:themeColor="text1"/>
          <w:lang w:val="en-US"/>
        </w:rPr>
        <w:t xml:space="preserve">thousand euros, compared with </w:t>
      </w:r>
      <w:r w:rsidRPr="009C238A">
        <w:rPr>
          <w:lang w:val="en-US"/>
        </w:rPr>
        <w:t xml:space="preserve">10,450 </w:t>
      </w:r>
      <w:r w:rsidRPr="009C238A">
        <w:rPr>
          <w:color w:val="000000" w:themeColor="text1"/>
          <w:lang w:val="en-US"/>
        </w:rPr>
        <w:t>in the same period in 2012.</w:t>
      </w:r>
    </w:p>
    <w:p w:rsidR="009072DB" w:rsidRPr="009C238A" w:rsidRDefault="009072DB" w:rsidP="009072DB">
      <w:pPr>
        <w:spacing w:before="240" w:line="240" w:lineRule="atLeast"/>
        <w:ind w:right="-54"/>
        <w:jc w:val="both"/>
        <w:rPr>
          <w:color w:val="000000" w:themeColor="text1"/>
          <w:lang w:val="en-US"/>
        </w:rPr>
      </w:pPr>
    </w:p>
    <w:p w:rsidR="009072DB" w:rsidRPr="009C238A" w:rsidRDefault="009072DB" w:rsidP="009072DB">
      <w:pPr>
        <w:pStyle w:val="Intestazione"/>
        <w:tabs>
          <w:tab w:val="clear" w:pos="4819"/>
          <w:tab w:val="left" w:pos="240"/>
          <w:tab w:val="center" w:pos="1843"/>
        </w:tabs>
        <w:rPr>
          <w:b/>
          <w:color w:val="000000" w:themeColor="text1"/>
          <w:lang w:val="en-US"/>
        </w:rPr>
      </w:pPr>
      <w:r w:rsidRPr="009C238A">
        <w:rPr>
          <w:b/>
          <w:lang w:val="en-US"/>
        </w:rPr>
        <w:t xml:space="preserve"> </w:t>
      </w:r>
      <w:r w:rsidRPr="009C238A">
        <w:rPr>
          <w:b/>
          <w:color w:val="000000" w:themeColor="text1"/>
          <w:lang w:val="en-US"/>
        </w:rPr>
        <w:t>(11) Goodwill and other intangibles</w:t>
      </w:r>
    </w:p>
    <w:p w:rsidR="009072DB" w:rsidRPr="009C238A" w:rsidRDefault="009072DB" w:rsidP="009072DB">
      <w:pPr>
        <w:pStyle w:val="Intestazione"/>
        <w:tabs>
          <w:tab w:val="clear" w:pos="4819"/>
          <w:tab w:val="left" w:pos="240"/>
          <w:tab w:val="center" w:pos="1843"/>
        </w:tabs>
        <w:rPr>
          <w:color w:val="000000" w:themeColor="text1"/>
          <w:highlight w:val="yellow"/>
          <w:lang w:val="en-US"/>
        </w:rPr>
      </w:pP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A breakdown of intangible assets at September 30, 2013 is as follows:</w:t>
      </w:r>
    </w:p>
    <w:p w:rsidR="009072DB" w:rsidRPr="009C238A" w:rsidRDefault="009072DB" w:rsidP="009072DB">
      <w:pPr>
        <w:spacing w:before="240" w:line="240" w:lineRule="atLeast"/>
        <w:ind w:right="-54"/>
        <w:jc w:val="both"/>
        <w:rPr>
          <w:highlight w:val="yellow"/>
          <w:lang w:val="en-US"/>
        </w:rPr>
      </w:pPr>
    </w:p>
    <w:tbl>
      <w:tblPr>
        <w:tblW w:w="4674" w:type="pct"/>
        <w:tblCellMar>
          <w:left w:w="70" w:type="dxa"/>
          <w:right w:w="70" w:type="dxa"/>
        </w:tblCellMar>
        <w:tblLook w:val="04A0"/>
      </w:tblPr>
      <w:tblGrid>
        <w:gridCol w:w="3255"/>
        <w:gridCol w:w="833"/>
        <w:gridCol w:w="890"/>
        <w:gridCol w:w="1094"/>
        <w:gridCol w:w="941"/>
        <w:gridCol w:w="1094"/>
        <w:gridCol w:w="1028"/>
      </w:tblGrid>
      <w:tr w:rsidR="009072DB" w:rsidRPr="009C238A" w:rsidTr="009072DB">
        <w:trPr>
          <w:trHeight w:val="630"/>
        </w:trPr>
        <w:tc>
          <w:tcPr>
            <w:tcW w:w="161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i/>
                <w:iCs/>
                <w:color w:val="000000" w:themeColor="text1"/>
                <w:sz w:val="16"/>
                <w:szCs w:val="16"/>
                <w:lang w:val="en-US"/>
              </w:rPr>
            </w:pPr>
            <w:r w:rsidRPr="009C238A">
              <w:rPr>
                <w:i/>
                <w:iCs/>
                <w:color w:val="000000" w:themeColor="text1"/>
                <w:sz w:val="16"/>
                <w:szCs w:val="16"/>
                <w:lang w:val="en-US"/>
              </w:rPr>
              <w:t>(in thousands of euros)</w:t>
            </w:r>
          </w:p>
        </w:tc>
        <w:tc>
          <w:tcPr>
            <w:tcW w:w="45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At December 31, 2012</w:t>
            </w:r>
          </w:p>
        </w:tc>
        <w:tc>
          <w:tcPr>
            <w:tcW w:w="52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Additions</w:t>
            </w:r>
          </w:p>
        </w:tc>
        <w:tc>
          <w:tcPr>
            <w:tcW w:w="640"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Depreciation</w:t>
            </w:r>
          </w:p>
        </w:tc>
        <w:tc>
          <w:tcPr>
            <w:tcW w:w="515"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Translation adjustment</w:t>
            </w:r>
          </w:p>
        </w:tc>
        <w:tc>
          <w:tcPr>
            <w:tcW w:w="640"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Retirements and other changes</w:t>
            </w:r>
          </w:p>
        </w:tc>
        <w:tc>
          <w:tcPr>
            <w:tcW w:w="603"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16"/>
                <w:szCs w:val="16"/>
                <w:lang w:val="en-US"/>
              </w:rPr>
            </w:pPr>
            <w:r w:rsidRPr="009C238A">
              <w:rPr>
                <w:b/>
                <w:color w:val="000000" w:themeColor="text1"/>
                <w:sz w:val="16"/>
                <w:szCs w:val="16"/>
                <w:lang w:val="en-US"/>
              </w:rPr>
              <w:t>At September 30, 2013</w:t>
            </w:r>
          </w:p>
        </w:tc>
      </w:tr>
      <w:tr w:rsidR="009072DB" w:rsidRPr="009C238A" w:rsidTr="009072DB">
        <w:trPr>
          <w:trHeight w:val="255"/>
        </w:trPr>
        <w:tc>
          <w:tcPr>
            <w:tcW w:w="1617"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Goodwill</w:t>
            </w:r>
          </w:p>
        </w:tc>
        <w:tc>
          <w:tcPr>
            <w:tcW w:w="45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67,689</w:t>
            </w:r>
          </w:p>
        </w:tc>
        <w:tc>
          <w:tcPr>
            <w:tcW w:w="528"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640"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515"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(1,216)</w:t>
            </w:r>
          </w:p>
        </w:tc>
        <w:tc>
          <w:tcPr>
            <w:tcW w:w="640"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(270)</w:t>
            </w:r>
          </w:p>
        </w:tc>
        <w:tc>
          <w:tcPr>
            <w:tcW w:w="60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66,203</w:t>
            </w:r>
          </w:p>
        </w:tc>
      </w:tr>
      <w:tr w:rsidR="009072DB" w:rsidRPr="009C238A" w:rsidTr="009072DB">
        <w:trPr>
          <w:trHeight w:val="255"/>
        </w:trPr>
        <w:tc>
          <w:tcPr>
            <w:tcW w:w="1617"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Development costs</w:t>
            </w:r>
          </w:p>
        </w:tc>
        <w:tc>
          <w:tcPr>
            <w:tcW w:w="45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13,832</w:t>
            </w:r>
          </w:p>
        </w:tc>
        <w:tc>
          <w:tcPr>
            <w:tcW w:w="528"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2,344</w:t>
            </w:r>
          </w:p>
        </w:tc>
        <w:tc>
          <w:tcPr>
            <w:tcW w:w="64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1,371</w:t>
            </w:r>
          </w:p>
        </w:tc>
        <w:tc>
          <w:tcPr>
            <w:tcW w:w="515"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(70)</w:t>
            </w:r>
          </w:p>
        </w:tc>
        <w:tc>
          <w:tcPr>
            <w:tcW w:w="640"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w:t>
            </w:r>
          </w:p>
        </w:tc>
        <w:tc>
          <w:tcPr>
            <w:tcW w:w="60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14,735</w:t>
            </w:r>
          </w:p>
        </w:tc>
      </w:tr>
      <w:tr w:rsidR="009072DB" w:rsidRPr="009C238A" w:rsidTr="009072DB">
        <w:trPr>
          <w:trHeight w:val="255"/>
        </w:trPr>
        <w:tc>
          <w:tcPr>
            <w:tcW w:w="1617"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Concessions, licenses and trademarks</w:t>
            </w:r>
          </w:p>
        </w:tc>
        <w:tc>
          <w:tcPr>
            <w:tcW w:w="45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30,432</w:t>
            </w:r>
          </w:p>
        </w:tc>
        <w:tc>
          <w:tcPr>
            <w:tcW w:w="528"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729</w:t>
            </w:r>
          </w:p>
        </w:tc>
        <w:tc>
          <w:tcPr>
            <w:tcW w:w="64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2,103</w:t>
            </w:r>
          </w:p>
        </w:tc>
        <w:tc>
          <w:tcPr>
            <w:tcW w:w="515"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(594)</w:t>
            </w:r>
          </w:p>
        </w:tc>
        <w:tc>
          <w:tcPr>
            <w:tcW w:w="64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253</w:t>
            </w:r>
          </w:p>
        </w:tc>
        <w:tc>
          <w:tcPr>
            <w:tcW w:w="60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28,717</w:t>
            </w:r>
          </w:p>
        </w:tc>
      </w:tr>
      <w:tr w:rsidR="009072DB" w:rsidRPr="009C238A" w:rsidTr="009072DB">
        <w:trPr>
          <w:trHeight w:val="255"/>
        </w:trPr>
        <w:tc>
          <w:tcPr>
            <w:tcW w:w="1617"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Industrial patents and intellectual property rights</w:t>
            </w:r>
          </w:p>
        </w:tc>
        <w:tc>
          <w:tcPr>
            <w:tcW w:w="45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13,100</w:t>
            </w:r>
          </w:p>
        </w:tc>
        <w:tc>
          <w:tcPr>
            <w:tcW w:w="528"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237</w:t>
            </w:r>
          </w:p>
        </w:tc>
        <w:tc>
          <w:tcPr>
            <w:tcW w:w="64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2,003</w:t>
            </w:r>
          </w:p>
        </w:tc>
        <w:tc>
          <w:tcPr>
            <w:tcW w:w="515"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(36)</w:t>
            </w:r>
          </w:p>
        </w:tc>
        <w:tc>
          <w:tcPr>
            <w:tcW w:w="640"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331</w:t>
            </w:r>
          </w:p>
        </w:tc>
        <w:tc>
          <w:tcPr>
            <w:tcW w:w="60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11,629</w:t>
            </w:r>
          </w:p>
        </w:tc>
      </w:tr>
      <w:tr w:rsidR="009072DB" w:rsidRPr="009C238A" w:rsidTr="009072DB">
        <w:trPr>
          <w:trHeight w:val="255"/>
        </w:trPr>
        <w:tc>
          <w:tcPr>
            <w:tcW w:w="1617"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16"/>
                <w:szCs w:val="16"/>
                <w:lang w:val="en-US"/>
              </w:rPr>
            </w:pPr>
            <w:r w:rsidRPr="009C238A">
              <w:rPr>
                <w:color w:val="000000" w:themeColor="text1"/>
                <w:sz w:val="16"/>
                <w:szCs w:val="16"/>
                <w:lang w:val="en-US"/>
              </w:rPr>
              <w:t>Advances and other intangibles</w:t>
            </w:r>
          </w:p>
        </w:tc>
        <w:tc>
          <w:tcPr>
            <w:tcW w:w="456"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223</w:t>
            </w:r>
          </w:p>
        </w:tc>
        <w:tc>
          <w:tcPr>
            <w:tcW w:w="528"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61</w:t>
            </w:r>
          </w:p>
        </w:tc>
        <w:tc>
          <w:tcPr>
            <w:tcW w:w="64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55</w:t>
            </w:r>
          </w:p>
        </w:tc>
        <w:tc>
          <w:tcPr>
            <w:tcW w:w="515" w:type="pct"/>
            <w:tcBorders>
              <w:top w:val="nil"/>
              <w:left w:val="nil"/>
              <w:bottom w:val="nil"/>
              <w:right w:val="nil"/>
            </w:tcBorders>
            <w:shd w:val="clear" w:color="auto" w:fill="auto"/>
            <w:vAlign w:val="bottom"/>
            <w:hideMark/>
          </w:tcPr>
          <w:p w:rsidR="009072DB" w:rsidRPr="009C238A" w:rsidRDefault="009072DB" w:rsidP="009072DB">
            <w:pPr>
              <w:jc w:val="right"/>
              <w:rPr>
                <w:sz w:val="16"/>
                <w:szCs w:val="16"/>
                <w:lang w:val="en-US"/>
              </w:rPr>
            </w:pPr>
            <w:r w:rsidRPr="009C238A">
              <w:rPr>
                <w:sz w:val="16"/>
                <w:szCs w:val="16"/>
                <w:lang w:val="en-US"/>
              </w:rPr>
              <w:t>(1)</w:t>
            </w:r>
          </w:p>
        </w:tc>
        <w:tc>
          <w:tcPr>
            <w:tcW w:w="640"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(1)</w:t>
            </w:r>
          </w:p>
        </w:tc>
        <w:tc>
          <w:tcPr>
            <w:tcW w:w="603" w:type="pct"/>
            <w:tcBorders>
              <w:top w:val="nil"/>
              <w:left w:val="nil"/>
              <w:bottom w:val="nil"/>
              <w:right w:val="nil"/>
            </w:tcBorders>
            <w:shd w:val="clear" w:color="auto" w:fill="auto"/>
            <w:noWrap/>
            <w:vAlign w:val="bottom"/>
            <w:hideMark/>
          </w:tcPr>
          <w:p w:rsidR="009072DB" w:rsidRPr="009C238A" w:rsidRDefault="009072DB" w:rsidP="009072DB">
            <w:pPr>
              <w:jc w:val="right"/>
              <w:rPr>
                <w:sz w:val="16"/>
                <w:szCs w:val="16"/>
                <w:lang w:val="en-US"/>
              </w:rPr>
            </w:pPr>
            <w:r w:rsidRPr="009C238A">
              <w:rPr>
                <w:sz w:val="16"/>
                <w:szCs w:val="16"/>
                <w:lang w:val="en-US"/>
              </w:rPr>
              <w:t>227</w:t>
            </w:r>
          </w:p>
        </w:tc>
      </w:tr>
      <w:tr w:rsidR="009072DB" w:rsidRPr="009C238A" w:rsidTr="009072DB">
        <w:trPr>
          <w:trHeight w:val="300"/>
        </w:trPr>
        <w:tc>
          <w:tcPr>
            <w:tcW w:w="1617"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b/>
                <w:bCs/>
                <w:sz w:val="16"/>
                <w:szCs w:val="16"/>
                <w:lang w:val="en-US"/>
              </w:rPr>
            </w:pPr>
            <w:r w:rsidRPr="009C238A">
              <w:rPr>
                <w:b/>
                <w:bCs/>
                <w:color w:val="000000" w:themeColor="text1"/>
                <w:sz w:val="16"/>
                <w:szCs w:val="16"/>
                <w:lang w:val="en-US"/>
              </w:rPr>
              <w:t>Total intangible assets</w:t>
            </w:r>
          </w:p>
        </w:tc>
        <w:tc>
          <w:tcPr>
            <w:tcW w:w="456" w:type="pct"/>
            <w:tcBorders>
              <w:top w:val="single" w:sz="4" w:space="0" w:color="auto"/>
              <w:left w:val="nil"/>
              <w:bottom w:val="single" w:sz="4"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125,276</w:t>
            </w:r>
          </w:p>
        </w:tc>
        <w:tc>
          <w:tcPr>
            <w:tcW w:w="528" w:type="pct"/>
            <w:tcBorders>
              <w:top w:val="single" w:sz="4" w:space="0" w:color="auto"/>
              <w:left w:val="nil"/>
              <w:bottom w:val="single" w:sz="4"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3,371</w:t>
            </w:r>
          </w:p>
        </w:tc>
        <w:tc>
          <w:tcPr>
            <w:tcW w:w="640" w:type="pct"/>
            <w:tcBorders>
              <w:top w:val="single" w:sz="4" w:space="0" w:color="auto"/>
              <w:left w:val="nil"/>
              <w:bottom w:val="single" w:sz="4"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5,532</w:t>
            </w:r>
          </w:p>
        </w:tc>
        <w:tc>
          <w:tcPr>
            <w:tcW w:w="515" w:type="pct"/>
            <w:tcBorders>
              <w:top w:val="single" w:sz="4" w:space="0" w:color="auto"/>
              <w:left w:val="nil"/>
              <w:bottom w:val="single" w:sz="4"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(1,917)</w:t>
            </w:r>
          </w:p>
        </w:tc>
        <w:tc>
          <w:tcPr>
            <w:tcW w:w="640" w:type="pct"/>
            <w:tcBorders>
              <w:top w:val="single" w:sz="4" w:space="0" w:color="auto"/>
              <w:left w:val="nil"/>
              <w:bottom w:val="single" w:sz="4"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313</w:t>
            </w:r>
          </w:p>
        </w:tc>
        <w:tc>
          <w:tcPr>
            <w:tcW w:w="603" w:type="pct"/>
            <w:tcBorders>
              <w:top w:val="single" w:sz="4" w:space="0" w:color="auto"/>
              <w:left w:val="nil"/>
              <w:bottom w:val="single" w:sz="4" w:space="0" w:color="auto"/>
              <w:right w:val="nil"/>
            </w:tcBorders>
            <w:shd w:val="clear" w:color="auto" w:fill="auto"/>
            <w:noWrap/>
            <w:vAlign w:val="bottom"/>
            <w:hideMark/>
          </w:tcPr>
          <w:p w:rsidR="009072DB" w:rsidRPr="009C238A" w:rsidRDefault="009072DB" w:rsidP="009072DB">
            <w:pPr>
              <w:jc w:val="right"/>
              <w:rPr>
                <w:b/>
                <w:bCs/>
                <w:sz w:val="16"/>
                <w:szCs w:val="16"/>
                <w:lang w:val="en-US"/>
              </w:rPr>
            </w:pPr>
            <w:r w:rsidRPr="009C238A">
              <w:rPr>
                <w:b/>
                <w:bCs/>
                <w:sz w:val="16"/>
                <w:szCs w:val="16"/>
                <w:lang w:val="en-US"/>
              </w:rPr>
              <w:t>121,511</w:t>
            </w:r>
          </w:p>
        </w:tc>
      </w:tr>
    </w:tbl>
    <w:p w:rsidR="009072DB" w:rsidRPr="009C238A" w:rsidRDefault="009072DB" w:rsidP="009072DB">
      <w:pPr>
        <w:pStyle w:val="Intestazione"/>
        <w:tabs>
          <w:tab w:val="clear" w:pos="4819"/>
          <w:tab w:val="left" w:pos="240"/>
          <w:tab w:val="center" w:pos="1843"/>
        </w:tabs>
        <w:rPr>
          <w:highlight w:val="yellow"/>
          <w:lang w:val="en-US"/>
        </w:rPr>
      </w:pPr>
    </w:p>
    <w:p w:rsidR="008174ED" w:rsidRDefault="009072DB" w:rsidP="009072DB">
      <w:pPr>
        <w:jc w:val="both"/>
        <w:rPr>
          <w:color w:val="000000" w:themeColor="text1"/>
          <w:lang w:val="en-US"/>
        </w:rPr>
      </w:pPr>
      <w:r w:rsidRPr="009C238A">
        <w:rPr>
          <w:color w:val="000000" w:themeColor="text1"/>
          <w:lang w:val="en-US"/>
        </w:rPr>
        <w:t xml:space="preserve">Goodwill amounted to </w:t>
      </w:r>
      <w:r w:rsidRPr="009C238A">
        <w:rPr>
          <w:lang w:val="en-US"/>
        </w:rPr>
        <w:t xml:space="preserve">66,203 </w:t>
      </w:r>
      <w:r w:rsidRPr="009C238A">
        <w:rPr>
          <w:color w:val="000000" w:themeColor="text1"/>
          <w:lang w:val="en-US"/>
        </w:rPr>
        <w:t>thousand euros at September 30, 2013. The decrease compared with December 31, 2012 also reflects the translation effect on the goodwill alloca</w:t>
      </w:r>
      <w:r w:rsidR="00A11B4C" w:rsidRPr="009C238A">
        <w:rPr>
          <w:color w:val="000000" w:themeColor="text1"/>
          <w:lang w:val="en-US"/>
        </w:rPr>
        <w:t>ted to the Diasorin Brazil, Diasorin U.S.A. and Dias</w:t>
      </w:r>
      <w:r w:rsidRPr="009C238A">
        <w:rPr>
          <w:color w:val="000000" w:themeColor="text1"/>
          <w:lang w:val="en-US"/>
        </w:rPr>
        <w:t xml:space="preserve">orin South Africa CGUs, for a negative amount equal to </w:t>
      </w:r>
      <w:r w:rsidRPr="009C238A">
        <w:rPr>
          <w:lang w:val="en-US"/>
        </w:rPr>
        <w:t xml:space="preserve">1,216 </w:t>
      </w:r>
      <w:r w:rsidR="00A11B4C" w:rsidRPr="009C238A">
        <w:rPr>
          <w:color w:val="000000" w:themeColor="text1"/>
          <w:lang w:val="en-US"/>
        </w:rPr>
        <w:t>thousand euros.</w:t>
      </w:r>
    </w:p>
    <w:p w:rsidR="009072DB" w:rsidRPr="009C238A" w:rsidRDefault="00A11B4C" w:rsidP="009072DB">
      <w:pPr>
        <w:jc w:val="both"/>
        <w:rPr>
          <w:color w:val="000000" w:themeColor="text1"/>
          <w:highlight w:val="yellow"/>
          <w:lang w:val="en-US"/>
        </w:rPr>
      </w:pPr>
      <w:r w:rsidRPr="009C238A">
        <w:rPr>
          <w:color w:val="000000" w:themeColor="text1"/>
          <w:lang w:val="en-US"/>
        </w:rPr>
        <w:t>At June</w:t>
      </w:r>
      <w:r w:rsidR="009072DB" w:rsidRPr="009C238A">
        <w:rPr>
          <w:color w:val="000000" w:themeColor="text1"/>
          <w:lang w:val="en-US"/>
        </w:rPr>
        <w:t xml:space="preserve"> 30, 2013, the process of valuing the assets of Nordiag has been completed, with a reduction of 270 thousand euros in the purchase price accounted to reduce goodwill.</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Please note that intangible assets with an indefinite useful life were not tested for impairment at September 30, 2013, since there were no indications of impairment. A full impairment test will be carried out in connection with the preparations of the annual financial statements.</w:t>
      </w:r>
    </w:p>
    <w:p w:rsidR="0067126E" w:rsidRPr="009C238A" w:rsidRDefault="0067126E" w:rsidP="009072DB">
      <w:pPr>
        <w:spacing w:before="240" w:line="240" w:lineRule="atLeast"/>
        <w:ind w:right="-54"/>
        <w:jc w:val="both"/>
        <w:rPr>
          <w:color w:val="000000" w:themeColor="text1"/>
          <w:lang w:val="en-US"/>
        </w:rPr>
      </w:pPr>
    </w:p>
    <w:p w:rsidR="009072DB" w:rsidRPr="009C238A" w:rsidRDefault="009072DB" w:rsidP="009072DB">
      <w:pPr>
        <w:spacing w:before="240" w:line="240" w:lineRule="atLeast"/>
        <w:ind w:right="-54"/>
        <w:jc w:val="both"/>
        <w:rPr>
          <w:highlight w:val="yellow"/>
          <w:lang w:val="en-US"/>
        </w:rPr>
      </w:pPr>
    </w:p>
    <w:p w:rsidR="009072DB" w:rsidRPr="009C238A" w:rsidRDefault="009072DB" w:rsidP="009072DB">
      <w:pPr>
        <w:spacing w:before="240" w:line="240" w:lineRule="atLeast"/>
        <w:ind w:right="-54"/>
        <w:jc w:val="both"/>
        <w:rPr>
          <w:highlight w:val="yellow"/>
          <w:lang w:val="en-US"/>
        </w:rPr>
      </w:pPr>
    </w:p>
    <w:p w:rsidR="009072DB" w:rsidRPr="009C238A" w:rsidRDefault="009072DB" w:rsidP="009072DB">
      <w:pPr>
        <w:pStyle w:val="Intestazione"/>
        <w:tabs>
          <w:tab w:val="clear" w:pos="4819"/>
          <w:tab w:val="left" w:pos="240"/>
          <w:tab w:val="center" w:pos="1843"/>
        </w:tabs>
        <w:jc w:val="both"/>
        <w:rPr>
          <w:b/>
          <w:color w:val="000000" w:themeColor="text1"/>
          <w:lang w:val="en-US"/>
        </w:rPr>
      </w:pPr>
      <w:r w:rsidRPr="009C238A">
        <w:rPr>
          <w:b/>
          <w:color w:val="000000" w:themeColor="text1"/>
          <w:lang w:val="en-US"/>
        </w:rPr>
        <w:t xml:space="preserve">(12) </w:t>
      </w:r>
      <w:r w:rsidRPr="009C238A">
        <w:rPr>
          <w:b/>
          <w:bCs/>
          <w:color w:val="000000" w:themeColor="text1"/>
          <w:lang w:val="en-US"/>
        </w:rPr>
        <w:t>Equity investments</w:t>
      </w:r>
    </w:p>
    <w:p w:rsidR="009072DB" w:rsidRPr="009C238A" w:rsidRDefault="009072DB" w:rsidP="009072DB">
      <w:pPr>
        <w:autoSpaceDE w:val="0"/>
        <w:autoSpaceDN w:val="0"/>
        <w:adjustRightInd w:val="0"/>
        <w:jc w:val="both"/>
        <w:rPr>
          <w:color w:val="000000" w:themeColor="text1"/>
          <w:lang w:val="en-US"/>
        </w:rPr>
      </w:pPr>
    </w:p>
    <w:p w:rsidR="009072DB" w:rsidRPr="009C238A" w:rsidRDefault="009072DB" w:rsidP="009072DB">
      <w:pPr>
        <w:autoSpaceDE w:val="0"/>
        <w:autoSpaceDN w:val="0"/>
        <w:adjustRightInd w:val="0"/>
        <w:jc w:val="both"/>
        <w:rPr>
          <w:color w:val="000000" w:themeColor="text1"/>
          <w:lang w:val="en-US"/>
        </w:rPr>
      </w:pPr>
      <w:r w:rsidRPr="009C238A">
        <w:rPr>
          <w:color w:val="000000" w:themeColor="text1"/>
          <w:lang w:val="en-US"/>
        </w:rPr>
        <w:t xml:space="preserve">Equity investments, which totaled </w:t>
      </w:r>
      <w:r w:rsidRPr="009C238A">
        <w:rPr>
          <w:lang w:val="en-US"/>
        </w:rPr>
        <w:t xml:space="preserve">491 </w:t>
      </w:r>
      <w:r w:rsidRPr="009C238A">
        <w:rPr>
          <w:color w:val="000000" w:themeColor="text1"/>
          <w:lang w:val="en-US"/>
        </w:rPr>
        <w:t xml:space="preserve">thousand euros include </w:t>
      </w:r>
      <w:r w:rsidRPr="009C238A">
        <w:rPr>
          <w:lang w:val="en-US"/>
        </w:rPr>
        <w:t xml:space="preserve">464 </w:t>
      </w:r>
      <w:r w:rsidRPr="009C238A">
        <w:rPr>
          <w:color w:val="000000" w:themeColor="text1"/>
          <w:lang w:val="en-US"/>
        </w:rPr>
        <w:t>thousand euros for the investment held by the U.S subsidiary in the JV Diasorin Trivitron Healthcare Private Limited</w:t>
      </w:r>
      <w:r w:rsidR="00B92E9D" w:rsidRPr="009C238A">
        <w:rPr>
          <w:color w:val="000000" w:themeColor="text1"/>
          <w:lang w:val="en-US"/>
        </w:rPr>
        <w:t xml:space="preserve">, </w:t>
      </w:r>
      <w:r w:rsidRPr="009C238A">
        <w:rPr>
          <w:color w:val="000000" w:themeColor="text1"/>
          <w:lang w:val="en-US"/>
        </w:rPr>
        <w:t xml:space="preserve">26 thousand euros for the investment held by the German subsidiary in the U-Kasse pension fund and 1 thousand euros for the interest held in the Sobedia affiliated company. </w:t>
      </w:r>
    </w:p>
    <w:p w:rsidR="009072DB" w:rsidRPr="009C238A" w:rsidRDefault="009072DB" w:rsidP="009072DB">
      <w:pPr>
        <w:autoSpaceDE w:val="0"/>
        <w:autoSpaceDN w:val="0"/>
        <w:adjustRightInd w:val="0"/>
        <w:jc w:val="both"/>
        <w:rPr>
          <w:color w:val="000000" w:themeColor="text1"/>
          <w:lang w:val="en-US"/>
        </w:rPr>
      </w:pPr>
    </w:p>
    <w:p w:rsidR="009072DB" w:rsidRPr="009C238A" w:rsidRDefault="00B92E9D" w:rsidP="00F823EC">
      <w:pPr>
        <w:pStyle w:val="Intestazione"/>
        <w:tabs>
          <w:tab w:val="clear" w:pos="4819"/>
          <w:tab w:val="left" w:pos="240"/>
          <w:tab w:val="center" w:pos="1843"/>
        </w:tabs>
        <w:jc w:val="both"/>
        <w:rPr>
          <w:lang w:val="en-US"/>
        </w:rPr>
      </w:pPr>
      <w:r w:rsidRPr="009C238A">
        <w:rPr>
          <w:color w:val="000000" w:themeColor="text1"/>
          <w:lang w:val="en-US"/>
        </w:rPr>
        <w:t>The</w:t>
      </w:r>
      <w:r w:rsidR="009072DB" w:rsidRPr="009C238A">
        <w:rPr>
          <w:color w:val="000000" w:themeColor="text1"/>
          <w:lang w:val="en-US"/>
        </w:rPr>
        <w:t xml:space="preserve"> change occurred in the third quarter of 2013, equal to</w:t>
      </w:r>
      <w:r w:rsidR="009072DB" w:rsidRPr="009C238A">
        <w:rPr>
          <w:lang w:val="en-US"/>
        </w:rPr>
        <w:t xml:space="preserve"> 314 </w:t>
      </w:r>
      <w:r w:rsidR="009072DB" w:rsidRPr="009C238A">
        <w:rPr>
          <w:color w:val="000000" w:themeColor="text1"/>
          <w:lang w:val="en-US"/>
        </w:rPr>
        <w:t>thousand euros</w:t>
      </w:r>
      <w:r w:rsidRPr="009C238A">
        <w:rPr>
          <w:color w:val="000000" w:themeColor="text1"/>
          <w:lang w:val="en-US"/>
        </w:rPr>
        <w:t>,</w:t>
      </w:r>
      <w:r w:rsidR="009072DB" w:rsidRPr="009C238A">
        <w:rPr>
          <w:color w:val="000000" w:themeColor="text1"/>
          <w:lang w:val="en-US"/>
        </w:rPr>
        <w:t xml:space="preserve"> is due to the capital transfer in favor of Diasorin Trivitron Healthcare Private Limited subsidiary</w:t>
      </w:r>
      <w:r w:rsidRPr="009C238A">
        <w:rPr>
          <w:color w:val="000000" w:themeColor="text1"/>
          <w:lang w:val="en-US"/>
        </w:rPr>
        <w:t xml:space="preserve"> (557 thousand euros)</w:t>
      </w:r>
      <w:r w:rsidR="009072DB" w:rsidRPr="009C238A">
        <w:rPr>
          <w:color w:val="000000" w:themeColor="text1"/>
          <w:lang w:val="en-US"/>
        </w:rPr>
        <w:t xml:space="preserve"> and the evaluati</w:t>
      </w:r>
      <w:r w:rsidR="00115DA3" w:rsidRPr="009C238A">
        <w:rPr>
          <w:color w:val="000000" w:themeColor="text1"/>
          <w:lang w:val="en-US"/>
        </w:rPr>
        <w:t xml:space="preserve">on of investments in associates, negative for 243 thousand euros, </w:t>
      </w:r>
      <w:r w:rsidR="009072DB" w:rsidRPr="009C238A">
        <w:rPr>
          <w:color w:val="000000" w:themeColor="text1"/>
          <w:lang w:val="en-US"/>
        </w:rPr>
        <w:t>on the basis of the equity method</w:t>
      </w:r>
      <w:r w:rsidR="00115DA3" w:rsidRPr="009C238A">
        <w:rPr>
          <w:color w:val="000000" w:themeColor="text1"/>
          <w:lang w:val="en-US"/>
        </w:rPr>
        <w:t>.</w:t>
      </w:r>
    </w:p>
    <w:p w:rsidR="009072DB" w:rsidRPr="009C238A" w:rsidRDefault="009072DB" w:rsidP="009072DB">
      <w:pPr>
        <w:pStyle w:val="Intestazione"/>
        <w:tabs>
          <w:tab w:val="clear" w:pos="4819"/>
          <w:tab w:val="left" w:pos="240"/>
          <w:tab w:val="center" w:pos="1843"/>
        </w:tabs>
        <w:rPr>
          <w:highlight w:val="yellow"/>
          <w:lang w:val="en-US"/>
        </w:rPr>
      </w:pPr>
    </w:p>
    <w:p w:rsidR="009072DB" w:rsidRPr="009C238A" w:rsidRDefault="009072DB" w:rsidP="009072DB">
      <w:pPr>
        <w:pStyle w:val="Intestazione"/>
        <w:tabs>
          <w:tab w:val="clear" w:pos="4819"/>
          <w:tab w:val="left" w:pos="240"/>
          <w:tab w:val="center" w:pos="1843"/>
        </w:tabs>
        <w:rPr>
          <w:highlight w:val="yellow"/>
          <w:lang w:val="en-US"/>
        </w:rPr>
      </w:pPr>
    </w:p>
    <w:p w:rsidR="009072DB" w:rsidRPr="009C238A" w:rsidRDefault="009072DB" w:rsidP="009072DB">
      <w:pPr>
        <w:pStyle w:val="Intestazione"/>
        <w:tabs>
          <w:tab w:val="clear" w:pos="4819"/>
          <w:tab w:val="left" w:pos="240"/>
          <w:tab w:val="center" w:pos="1843"/>
        </w:tabs>
        <w:jc w:val="both"/>
        <w:rPr>
          <w:b/>
          <w:bCs/>
          <w:color w:val="000000" w:themeColor="text1"/>
          <w:lang w:val="en-US"/>
        </w:rPr>
      </w:pPr>
      <w:r w:rsidRPr="009C238A">
        <w:rPr>
          <w:b/>
          <w:color w:val="000000" w:themeColor="text1"/>
          <w:lang w:val="en-US"/>
        </w:rPr>
        <w:t xml:space="preserve">(13) </w:t>
      </w:r>
      <w:r w:rsidRPr="009C238A">
        <w:rPr>
          <w:b/>
          <w:bCs/>
          <w:color w:val="000000" w:themeColor="text1"/>
          <w:lang w:val="en-US"/>
        </w:rPr>
        <w:t>Deferred-tax assets and deferred-tax liabilities</w:t>
      </w:r>
    </w:p>
    <w:p w:rsidR="009072DB" w:rsidRPr="009C238A" w:rsidRDefault="009072DB" w:rsidP="009072DB">
      <w:pPr>
        <w:pStyle w:val="Intestazione"/>
        <w:tabs>
          <w:tab w:val="clear" w:pos="4819"/>
          <w:tab w:val="left" w:pos="240"/>
          <w:tab w:val="center" w:pos="1843"/>
        </w:tabs>
        <w:jc w:val="both"/>
        <w:rPr>
          <w:b/>
          <w:color w:val="000000" w:themeColor="text1"/>
          <w:highlight w:val="yellow"/>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Deferred-tax assets amounted to </w:t>
      </w:r>
      <w:r w:rsidRPr="009C238A">
        <w:rPr>
          <w:lang w:val="en-US"/>
        </w:rPr>
        <w:t xml:space="preserve">20,603 </w:t>
      </w:r>
      <w:r w:rsidRPr="009C238A">
        <w:rPr>
          <w:color w:val="000000" w:themeColor="text1"/>
          <w:lang w:val="en-US"/>
        </w:rPr>
        <w:t xml:space="preserve">thousand euros. They relate to consolidated companies that have deferred-tax assets in excess of deferred-tax liabilities and to consolidation adjustments. Deferred-tax liabilities, which totaled </w:t>
      </w:r>
      <w:r w:rsidRPr="009C238A">
        <w:rPr>
          <w:lang w:val="en-US"/>
        </w:rPr>
        <w:t xml:space="preserve">3,394 </w:t>
      </w:r>
      <w:r w:rsidRPr="009C238A">
        <w:rPr>
          <w:color w:val="000000" w:themeColor="text1"/>
          <w:lang w:val="en-US"/>
        </w:rPr>
        <w:t xml:space="preserve">thousand euros, relate to consolidated companies that have deferred-tax liabilities in excess of deferred-tax assets. They are shown on the liabilities side of the statement of financial position. </w:t>
      </w:r>
    </w:p>
    <w:p w:rsidR="009072DB" w:rsidRPr="009C238A" w:rsidRDefault="009072DB" w:rsidP="009072DB">
      <w:pPr>
        <w:ind w:right="-20"/>
        <w:jc w:val="both"/>
        <w:rPr>
          <w:color w:val="000000" w:themeColor="text1"/>
          <w:highlight w:val="yellow"/>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The balance reflects the net deferred-tax assets computed on the consolidation s (mainly from the elimination of unrealized gains on intra-Group transactions) and on temporary differences between the asset and liability amounts used to prepare the consolidated financial statements and the corresponding amounts used by the consolidated companies for tax purposes. </w:t>
      </w:r>
    </w:p>
    <w:p w:rsidR="009072DB" w:rsidRPr="009C238A" w:rsidRDefault="009072DB" w:rsidP="009072DB">
      <w:pPr>
        <w:tabs>
          <w:tab w:val="left" w:pos="1134"/>
          <w:tab w:val="left" w:pos="2269"/>
          <w:tab w:val="right" w:pos="5670"/>
          <w:tab w:val="right" w:pos="7372"/>
        </w:tabs>
        <w:ind w:right="-20"/>
        <w:jc w:val="both"/>
        <w:rPr>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Deferred-tax assets were recognized in the financial statements when their future utilization was deemed probable. The same approach was used to recognize the benefit provided by the use of tax loss carry forwards, most of which, under current laws, can be brought forward indefinitely.</w:t>
      </w:r>
    </w:p>
    <w:p w:rsidR="009072DB" w:rsidRPr="009C238A" w:rsidRDefault="009072DB" w:rsidP="009072DB">
      <w:pPr>
        <w:tabs>
          <w:tab w:val="left" w:pos="1134"/>
          <w:tab w:val="left" w:pos="2269"/>
          <w:tab w:val="right" w:pos="5670"/>
          <w:tab w:val="right" w:pos="7372"/>
        </w:tabs>
        <w:ind w:right="-20"/>
        <w:jc w:val="both"/>
        <w:rPr>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Based on the multi-year plans prepared by management, the Group is expected to generate sufficient taxable income in future years to allow for the full recovery of the abovementioned amounts. </w:t>
      </w:r>
    </w:p>
    <w:p w:rsidR="009072DB" w:rsidRPr="009C238A" w:rsidRDefault="009072DB" w:rsidP="009072DB">
      <w:pPr>
        <w:pStyle w:val="Corpodeltesto"/>
        <w:tabs>
          <w:tab w:val="right" w:pos="5670"/>
          <w:tab w:val="right" w:pos="7372"/>
        </w:tabs>
        <w:rPr>
          <w:color w:val="000000" w:themeColor="text1"/>
          <w:lang w:val="en-US"/>
        </w:rPr>
      </w:pPr>
    </w:p>
    <w:p w:rsidR="009072DB" w:rsidRPr="009C238A" w:rsidRDefault="009072DB" w:rsidP="009072DB">
      <w:pPr>
        <w:pStyle w:val="Corpodeltesto"/>
        <w:tabs>
          <w:tab w:val="right" w:pos="5670"/>
          <w:tab w:val="right" w:pos="7372"/>
        </w:tabs>
        <w:rPr>
          <w:color w:val="000000" w:themeColor="text1"/>
          <w:lang w:val="en-US"/>
        </w:rPr>
      </w:pPr>
      <w:r w:rsidRPr="009C238A">
        <w:rPr>
          <w:color w:val="000000" w:themeColor="text1"/>
          <w:lang w:val="en-US"/>
        </w:rPr>
        <w:t>An analysis of deferred-tax assets, net of offsettable deferred-tax liabilities, is provided below:</w:t>
      </w:r>
    </w:p>
    <w:p w:rsidR="009072DB" w:rsidRPr="009C238A" w:rsidRDefault="009072DB" w:rsidP="009072DB">
      <w:pPr>
        <w:spacing w:before="240" w:line="240" w:lineRule="atLeast"/>
        <w:ind w:right="-54"/>
        <w:jc w:val="both"/>
        <w:rPr>
          <w:highlight w:val="yellow"/>
          <w:lang w:val="en-US"/>
        </w:rPr>
      </w:pPr>
    </w:p>
    <w:tbl>
      <w:tblPr>
        <w:tblW w:w="5000" w:type="pct"/>
        <w:tblCellMar>
          <w:left w:w="70" w:type="dxa"/>
          <w:right w:w="70" w:type="dxa"/>
        </w:tblCellMar>
        <w:tblLook w:val="04A0"/>
      </w:tblPr>
      <w:tblGrid>
        <w:gridCol w:w="6096"/>
        <w:gridCol w:w="1839"/>
        <w:gridCol w:w="1837"/>
      </w:tblGrid>
      <w:tr w:rsidR="009072DB" w:rsidRPr="009C238A" w:rsidTr="009072DB">
        <w:trPr>
          <w:trHeight w:val="255"/>
        </w:trPr>
        <w:tc>
          <w:tcPr>
            <w:tcW w:w="3119" w:type="pct"/>
            <w:tcBorders>
              <w:top w:val="single" w:sz="4" w:space="0" w:color="auto"/>
              <w:left w:val="nil"/>
              <w:bottom w:val="single" w:sz="4" w:space="0" w:color="auto"/>
              <w:right w:val="nil"/>
            </w:tcBorders>
            <w:shd w:val="clear" w:color="auto" w:fill="auto"/>
            <w:noWrap/>
            <w:vAlign w:val="bottom"/>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94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94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12/31/2012</w:t>
            </w:r>
          </w:p>
        </w:tc>
      </w:tr>
      <w:tr w:rsidR="009072DB" w:rsidRPr="009C238A" w:rsidTr="009072DB">
        <w:trPr>
          <w:trHeight w:val="255"/>
        </w:trPr>
        <w:tc>
          <w:tcPr>
            <w:tcW w:w="3119" w:type="pct"/>
            <w:tcBorders>
              <w:top w:val="nil"/>
              <w:left w:val="nil"/>
              <w:bottom w:val="nil"/>
              <w:right w:val="nil"/>
            </w:tcBorders>
            <w:shd w:val="clear" w:color="auto" w:fill="auto"/>
            <w:noWrap/>
            <w:vAlign w:val="bottom"/>
            <w:hideMark/>
          </w:tcPr>
          <w:p w:rsidR="009072DB" w:rsidRPr="009C238A" w:rsidRDefault="009072DB" w:rsidP="009072DB">
            <w:pPr>
              <w:rPr>
                <w:color w:val="000000" w:themeColor="text1"/>
                <w:sz w:val="20"/>
                <w:szCs w:val="20"/>
                <w:lang w:val="en-US"/>
              </w:rPr>
            </w:pPr>
            <w:r w:rsidRPr="009C238A">
              <w:rPr>
                <w:color w:val="000000" w:themeColor="text1"/>
                <w:sz w:val="20"/>
                <w:szCs w:val="20"/>
                <w:lang w:val="en-US"/>
              </w:rPr>
              <w:t>Deferred-tax assets</w:t>
            </w:r>
          </w:p>
        </w:tc>
        <w:tc>
          <w:tcPr>
            <w:tcW w:w="941"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20,603</w:t>
            </w:r>
          </w:p>
        </w:tc>
        <w:tc>
          <w:tcPr>
            <w:tcW w:w="94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21,342</w:t>
            </w:r>
          </w:p>
        </w:tc>
      </w:tr>
      <w:tr w:rsidR="009072DB" w:rsidRPr="009C238A" w:rsidTr="009072DB">
        <w:trPr>
          <w:trHeight w:val="255"/>
        </w:trPr>
        <w:tc>
          <w:tcPr>
            <w:tcW w:w="3119" w:type="pct"/>
            <w:tcBorders>
              <w:top w:val="nil"/>
              <w:left w:val="nil"/>
              <w:bottom w:val="nil"/>
              <w:right w:val="nil"/>
            </w:tcBorders>
            <w:shd w:val="clear" w:color="auto" w:fill="auto"/>
            <w:noWrap/>
            <w:vAlign w:val="bottom"/>
            <w:hideMark/>
          </w:tcPr>
          <w:p w:rsidR="009072DB" w:rsidRPr="009C238A" w:rsidRDefault="009072DB" w:rsidP="009072DB">
            <w:pPr>
              <w:rPr>
                <w:color w:val="000000" w:themeColor="text1"/>
                <w:sz w:val="20"/>
                <w:szCs w:val="20"/>
                <w:lang w:val="en-US"/>
              </w:rPr>
            </w:pPr>
            <w:r w:rsidRPr="009C238A">
              <w:rPr>
                <w:color w:val="000000" w:themeColor="text1"/>
                <w:sz w:val="20"/>
                <w:szCs w:val="20"/>
                <w:lang w:val="en-US"/>
              </w:rPr>
              <w:t>Deferred-tax liabilities</w:t>
            </w:r>
          </w:p>
        </w:tc>
        <w:tc>
          <w:tcPr>
            <w:tcW w:w="941"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(3,394)</w:t>
            </w:r>
          </w:p>
        </w:tc>
        <w:tc>
          <w:tcPr>
            <w:tcW w:w="940"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(3,579)</w:t>
            </w:r>
          </w:p>
        </w:tc>
      </w:tr>
      <w:tr w:rsidR="009072DB" w:rsidRPr="009C238A" w:rsidTr="009072DB">
        <w:trPr>
          <w:trHeight w:val="255"/>
        </w:trPr>
        <w:tc>
          <w:tcPr>
            <w:tcW w:w="3119" w:type="pct"/>
            <w:tcBorders>
              <w:top w:val="single" w:sz="4" w:space="0" w:color="auto"/>
              <w:left w:val="nil"/>
              <w:bottom w:val="single" w:sz="4" w:space="0" w:color="auto"/>
              <w:right w:val="nil"/>
            </w:tcBorders>
            <w:shd w:val="clear" w:color="auto" w:fill="auto"/>
            <w:noWrap/>
            <w:vAlign w:val="bottom"/>
            <w:hideMark/>
          </w:tcPr>
          <w:p w:rsidR="009072DB" w:rsidRPr="009C238A" w:rsidRDefault="009072DB" w:rsidP="009072DB">
            <w:pPr>
              <w:rPr>
                <w:b/>
                <w:bCs/>
                <w:color w:val="000000" w:themeColor="text1"/>
                <w:sz w:val="20"/>
                <w:szCs w:val="20"/>
                <w:lang w:val="en-US"/>
              </w:rPr>
            </w:pPr>
            <w:r w:rsidRPr="009C238A">
              <w:rPr>
                <w:b/>
                <w:bCs/>
                <w:color w:val="000000" w:themeColor="text1"/>
                <w:sz w:val="20"/>
                <w:szCs w:val="20"/>
                <w:lang w:val="en-US"/>
              </w:rPr>
              <w:t>Total net deferred-tax assets</w:t>
            </w:r>
          </w:p>
        </w:tc>
        <w:tc>
          <w:tcPr>
            <w:tcW w:w="94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17,209</w:t>
            </w:r>
          </w:p>
        </w:tc>
        <w:tc>
          <w:tcPr>
            <w:tcW w:w="940"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17,763</w:t>
            </w:r>
          </w:p>
        </w:tc>
      </w:tr>
    </w:tbl>
    <w:p w:rsidR="009072DB" w:rsidRPr="009C238A" w:rsidRDefault="009072DB" w:rsidP="009072DB">
      <w:pPr>
        <w:pStyle w:val="Intestazione"/>
        <w:tabs>
          <w:tab w:val="clear" w:pos="4819"/>
          <w:tab w:val="left" w:pos="240"/>
          <w:tab w:val="center" w:pos="1843"/>
        </w:tabs>
        <w:jc w:val="both"/>
        <w:rPr>
          <w:color w:val="000000" w:themeColor="text1"/>
          <w:sz w:val="23"/>
          <w:szCs w:val="23"/>
          <w:lang w:val="en-US"/>
        </w:rPr>
      </w:pPr>
    </w:p>
    <w:p w:rsidR="009072DB" w:rsidRPr="009C238A" w:rsidRDefault="009072DB" w:rsidP="009072DB">
      <w:pPr>
        <w:pStyle w:val="Intestazione"/>
        <w:tabs>
          <w:tab w:val="clear" w:pos="4819"/>
          <w:tab w:val="left" w:pos="240"/>
          <w:tab w:val="center" w:pos="1843"/>
        </w:tabs>
        <w:jc w:val="both"/>
        <w:rPr>
          <w:b/>
          <w:color w:val="000000" w:themeColor="text1"/>
          <w:lang w:val="en-US"/>
        </w:rPr>
      </w:pPr>
      <w:r w:rsidRPr="009C238A">
        <w:rPr>
          <w:color w:val="000000" w:themeColor="text1"/>
          <w:sz w:val="23"/>
          <w:szCs w:val="23"/>
          <w:lang w:val="en-US"/>
        </w:rPr>
        <w:t>The Group offsets deferred-tax assets and liabilities when they refer to the same company. Depending on whether they are positive or negative, the resulting balances are recognized as deferred-tax assets or deferred-tax liabilities, respectively.</w:t>
      </w: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jc w:val="both"/>
        <w:rPr>
          <w:b/>
          <w:bCs/>
          <w:color w:val="000000" w:themeColor="text1"/>
          <w:lang w:val="en-US"/>
        </w:rPr>
      </w:pPr>
      <w:r w:rsidRPr="009C238A">
        <w:rPr>
          <w:b/>
          <w:color w:val="000000" w:themeColor="text1"/>
          <w:lang w:val="en-US"/>
        </w:rPr>
        <w:t xml:space="preserve">(14) </w:t>
      </w:r>
      <w:r w:rsidRPr="009C238A">
        <w:rPr>
          <w:b/>
          <w:bCs/>
          <w:color w:val="000000" w:themeColor="text1"/>
          <w:lang w:val="en-US"/>
        </w:rPr>
        <w:t>Other non-current assets</w:t>
      </w:r>
    </w:p>
    <w:p w:rsidR="009072DB" w:rsidRPr="009C238A" w:rsidRDefault="009072DB" w:rsidP="009072DB">
      <w:pPr>
        <w:pStyle w:val="Intestazione"/>
        <w:tabs>
          <w:tab w:val="clear" w:pos="4819"/>
          <w:tab w:val="left" w:pos="240"/>
          <w:tab w:val="center" w:pos="1843"/>
        </w:tabs>
        <w:jc w:val="both"/>
        <w:rPr>
          <w:b/>
          <w:bCs/>
          <w:color w:val="000000" w:themeColor="text1"/>
          <w:lang w:val="en-US"/>
        </w:rPr>
      </w:pPr>
    </w:p>
    <w:p w:rsidR="009072DB" w:rsidRPr="00DB3065" w:rsidRDefault="009072DB" w:rsidP="009072DB">
      <w:pPr>
        <w:pStyle w:val="Intestazione"/>
        <w:tabs>
          <w:tab w:val="clear" w:pos="4819"/>
          <w:tab w:val="left" w:pos="240"/>
          <w:tab w:val="center" w:pos="1843"/>
        </w:tabs>
        <w:jc w:val="both"/>
        <w:rPr>
          <w:color w:val="000000" w:themeColor="text1"/>
          <w:lang w:val="en-US"/>
        </w:rPr>
      </w:pPr>
      <w:r w:rsidRPr="00DB3065">
        <w:rPr>
          <w:color w:val="000000" w:themeColor="text1"/>
          <w:lang w:val="en-US"/>
        </w:rPr>
        <w:t xml:space="preserve">The amount of </w:t>
      </w:r>
      <w:r w:rsidRPr="00DB3065">
        <w:rPr>
          <w:lang w:val="en-US"/>
        </w:rPr>
        <w:t xml:space="preserve">1,776 </w:t>
      </w:r>
      <w:r w:rsidRPr="00DB3065">
        <w:rPr>
          <w:color w:val="000000" w:themeColor="text1"/>
          <w:lang w:val="en-US"/>
        </w:rPr>
        <w:t xml:space="preserve">thousand euros, at September 30, 2013, refers mainly to receivables </w:t>
      </w:r>
      <w:r w:rsidR="00DB3065" w:rsidRPr="00DB3065">
        <w:rPr>
          <w:color w:val="000000" w:themeColor="text1"/>
          <w:lang w:val="en-US"/>
        </w:rPr>
        <w:t>due</w:t>
      </w:r>
      <w:r w:rsidR="00EC68CC" w:rsidRPr="00DB3065">
        <w:rPr>
          <w:color w:val="000000" w:themeColor="text1"/>
          <w:lang w:val="en-US"/>
        </w:rPr>
        <w:t xml:space="preserve"> over 12 months </w:t>
      </w:r>
      <w:r w:rsidRPr="00DB3065">
        <w:rPr>
          <w:color w:val="000000" w:themeColor="text1"/>
          <w:lang w:val="en-US"/>
        </w:rPr>
        <w:t>held by the Brazilian subsidiary</w:t>
      </w:r>
      <w:r w:rsidR="00EC68CC" w:rsidRPr="00DB3065">
        <w:rPr>
          <w:color w:val="000000" w:themeColor="text1"/>
          <w:lang w:val="en-US"/>
        </w:rPr>
        <w:t>.</w:t>
      </w:r>
    </w:p>
    <w:p w:rsidR="004432EB" w:rsidRPr="009C238A" w:rsidRDefault="004432EB" w:rsidP="009072DB">
      <w:pPr>
        <w:pStyle w:val="Intestazione"/>
        <w:tabs>
          <w:tab w:val="clear" w:pos="4819"/>
          <w:tab w:val="left" w:pos="240"/>
          <w:tab w:val="center" w:pos="1843"/>
        </w:tabs>
        <w:jc w:val="both"/>
        <w:rPr>
          <w:b/>
          <w:lang w:val="en-US"/>
        </w:rPr>
      </w:pPr>
    </w:p>
    <w:p w:rsidR="009072DB" w:rsidRPr="009C238A" w:rsidRDefault="009072DB" w:rsidP="009072DB">
      <w:pPr>
        <w:pStyle w:val="Intestazione"/>
        <w:tabs>
          <w:tab w:val="clear" w:pos="4819"/>
          <w:tab w:val="left" w:pos="240"/>
          <w:tab w:val="center" w:pos="1843"/>
        </w:tabs>
        <w:jc w:val="both"/>
        <w:rPr>
          <w:b/>
          <w:color w:val="000000" w:themeColor="text1"/>
          <w:lang w:val="en-US"/>
        </w:rPr>
      </w:pPr>
      <w:r w:rsidRPr="009C238A">
        <w:rPr>
          <w:b/>
          <w:color w:val="000000" w:themeColor="text1"/>
          <w:lang w:val="en-US"/>
        </w:rPr>
        <w:t>(15) Inventories</w:t>
      </w:r>
    </w:p>
    <w:p w:rsidR="009072DB" w:rsidRPr="009C238A" w:rsidRDefault="009072DB" w:rsidP="009072DB">
      <w:pPr>
        <w:spacing w:before="240" w:line="240" w:lineRule="atLeast"/>
        <w:ind w:right="-54"/>
        <w:jc w:val="both"/>
        <w:rPr>
          <w:lang w:val="en-US"/>
        </w:rPr>
      </w:pPr>
      <w:r w:rsidRPr="009C238A">
        <w:rPr>
          <w:color w:val="000000" w:themeColor="text1"/>
          <w:lang w:val="en-US"/>
        </w:rPr>
        <w:t xml:space="preserve">A breakdown of inventories, which totaled </w:t>
      </w:r>
      <w:r w:rsidRPr="009C238A">
        <w:rPr>
          <w:lang w:val="en-US"/>
        </w:rPr>
        <w:t xml:space="preserve">85,015 </w:t>
      </w:r>
      <w:r w:rsidRPr="009C238A">
        <w:rPr>
          <w:color w:val="000000" w:themeColor="text1"/>
          <w:lang w:val="en-US"/>
        </w:rPr>
        <w:t>thousand euros at September 30, 2013, is provided below:</w:t>
      </w:r>
    </w:p>
    <w:p w:rsidR="009072DB" w:rsidRPr="009C238A" w:rsidRDefault="009072DB" w:rsidP="009072DB">
      <w:pPr>
        <w:pStyle w:val="Intestazione"/>
        <w:tabs>
          <w:tab w:val="clear" w:pos="4819"/>
          <w:tab w:val="left" w:pos="240"/>
          <w:tab w:val="center" w:pos="1843"/>
        </w:tabs>
        <w:jc w:val="both"/>
        <w:rPr>
          <w:highlight w:val="yellow"/>
          <w:lang w:val="en-US"/>
        </w:rPr>
      </w:pPr>
    </w:p>
    <w:tbl>
      <w:tblPr>
        <w:tblW w:w="5000" w:type="pct"/>
        <w:tblCellMar>
          <w:left w:w="70" w:type="dxa"/>
          <w:right w:w="70" w:type="dxa"/>
        </w:tblCellMar>
        <w:tblLook w:val="04A0"/>
      </w:tblPr>
      <w:tblGrid>
        <w:gridCol w:w="3452"/>
        <w:gridCol w:w="927"/>
        <w:gridCol w:w="1522"/>
        <w:gridCol w:w="926"/>
        <w:gridCol w:w="891"/>
        <w:gridCol w:w="1165"/>
        <w:gridCol w:w="889"/>
      </w:tblGrid>
      <w:tr w:rsidR="009072DB" w:rsidRPr="009C238A" w:rsidTr="009072DB">
        <w:trPr>
          <w:trHeight w:val="255"/>
        </w:trPr>
        <w:tc>
          <w:tcPr>
            <w:tcW w:w="1766" w:type="pct"/>
            <w:tcBorders>
              <w:top w:val="single" w:sz="4" w:space="0" w:color="auto"/>
              <w:left w:val="nil"/>
              <w:bottom w:val="single" w:sz="4" w:space="0" w:color="auto"/>
              <w:right w:val="nil"/>
            </w:tcBorders>
            <w:shd w:val="clear" w:color="auto" w:fill="auto"/>
            <w:vAlign w:val="bottom"/>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1727" w:type="pct"/>
            <w:gridSpan w:val="3"/>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center"/>
              <w:rPr>
                <w:b/>
                <w:bCs/>
                <w:sz w:val="20"/>
                <w:szCs w:val="20"/>
                <w:lang w:val="en-US"/>
              </w:rPr>
            </w:pPr>
            <w:r w:rsidRPr="009C238A">
              <w:rPr>
                <w:b/>
                <w:bCs/>
                <w:sz w:val="20"/>
                <w:szCs w:val="20"/>
                <w:lang w:val="en-US"/>
              </w:rPr>
              <w:t>9/30/2013</w:t>
            </w:r>
          </w:p>
        </w:tc>
        <w:tc>
          <w:tcPr>
            <w:tcW w:w="1507" w:type="pct"/>
            <w:gridSpan w:val="3"/>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center"/>
              <w:rPr>
                <w:b/>
                <w:bCs/>
                <w:sz w:val="20"/>
                <w:szCs w:val="20"/>
                <w:lang w:val="en-US"/>
              </w:rPr>
            </w:pPr>
            <w:r w:rsidRPr="009C238A">
              <w:rPr>
                <w:b/>
                <w:bCs/>
                <w:sz w:val="20"/>
                <w:szCs w:val="20"/>
                <w:lang w:val="en-US"/>
              </w:rPr>
              <w:t xml:space="preserve"> 12/31/2012</w:t>
            </w:r>
          </w:p>
        </w:tc>
      </w:tr>
      <w:tr w:rsidR="009072DB" w:rsidRPr="009C238A" w:rsidTr="009072DB">
        <w:trPr>
          <w:trHeight w:val="510"/>
        </w:trPr>
        <w:tc>
          <w:tcPr>
            <w:tcW w:w="1766" w:type="pct"/>
            <w:tcBorders>
              <w:top w:val="nil"/>
              <w:left w:val="nil"/>
              <w:bottom w:val="single" w:sz="4" w:space="0" w:color="auto"/>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w:t>
            </w:r>
          </w:p>
        </w:tc>
        <w:tc>
          <w:tcPr>
            <w:tcW w:w="474"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20"/>
                <w:szCs w:val="20"/>
                <w:lang w:val="en-US"/>
              </w:rPr>
            </w:pPr>
            <w:r w:rsidRPr="009C238A">
              <w:rPr>
                <w:b/>
                <w:color w:val="000000" w:themeColor="text1"/>
                <w:sz w:val="20"/>
                <w:szCs w:val="20"/>
                <w:lang w:val="en-US"/>
              </w:rPr>
              <w:t xml:space="preserve">Gross amount </w:t>
            </w:r>
          </w:p>
        </w:tc>
        <w:tc>
          <w:tcPr>
            <w:tcW w:w="779"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20"/>
                <w:szCs w:val="20"/>
                <w:lang w:val="en-US"/>
              </w:rPr>
            </w:pPr>
            <w:r w:rsidRPr="009C238A">
              <w:rPr>
                <w:b/>
                <w:color w:val="000000" w:themeColor="text1"/>
                <w:sz w:val="20"/>
                <w:szCs w:val="20"/>
                <w:lang w:val="en-US"/>
              </w:rPr>
              <w:t>Provisions for write-downs</w:t>
            </w:r>
          </w:p>
        </w:tc>
        <w:tc>
          <w:tcPr>
            <w:tcW w:w="474"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20"/>
                <w:szCs w:val="20"/>
                <w:lang w:val="en-US"/>
              </w:rPr>
            </w:pPr>
            <w:r w:rsidRPr="009C238A">
              <w:rPr>
                <w:b/>
                <w:color w:val="000000" w:themeColor="text1"/>
                <w:sz w:val="20"/>
                <w:szCs w:val="20"/>
                <w:lang w:val="en-US"/>
              </w:rPr>
              <w:t>Net amount</w:t>
            </w:r>
          </w:p>
        </w:tc>
        <w:tc>
          <w:tcPr>
            <w:tcW w:w="456"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20"/>
                <w:szCs w:val="20"/>
                <w:lang w:val="en-US"/>
              </w:rPr>
            </w:pPr>
            <w:r w:rsidRPr="009C238A">
              <w:rPr>
                <w:b/>
                <w:color w:val="000000" w:themeColor="text1"/>
                <w:sz w:val="20"/>
                <w:szCs w:val="20"/>
                <w:lang w:val="en-US"/>
              </w:rPr>
              <w:t xml:space="preserve">Gross amount </w:t>
            </w:r>
          </w:p>
        </w:tc>
        <w:tc>
          <w:tcPr>
            <w:tcW w:w="596"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20"/>
                <w:szCs w:val="20"/>
                <w:lang w:val="en-US"/>
              </w:rPr>
            </w:pPr>
            <w:r w:rsidRPr="009C238A">
              <w:rPr>
                <w:b/>
                <w:color w:val="000000" w:themeColor="text1"/>
                <w:sz w:val="20"/>
                <w:szCs w:val="20"/>
                <w:lang w:val="en-US"/>
              </w:rPr>
              <w:t>Provisions for write-downs</w:t>
            </w:r>
          </w:p>
        </w:tc>
        <w:tc>
          <w:tcPr>
            <w:tcW w:w="455"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20"/>
                <w:szCs w:val="20"/>
                <w:lang w:val="en-US"/>
              </w:rPr>
            </w:pPr>
            <w:r w:rsidRPr="009C238A">
              <w:rPr>
                <w:b/>
                <w:color w:val="000000" w:themeColor="text1"/>
                <w:sz w:val="20"/>
                <w:szCs w:val="20"/>
                <w:lang w:val="en-US"/>
              </w:rPr>
              <w:t>Net amount</w:t>
            </w:r>
          </w:p>
        </w:tc>
      </w:tr>
      <w:tr w:rsidR="009072DB" w:rsidRPr="009C238A" w:rsidTr="009072DB">
        <w:trPr>
          <w:trHeight w:val="255"/>
        </w:trPr>
        <w:tc>
          <w:tcPr>
            <w:tcW w:w="1766"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20"/>
                <w:szCs w:val="20"/>
                <w:lang w:val="en-US"/>
              </w:rPr>
            </w:pPr>
            <w:r w:rsidRPr="009C238A">
              <w:rPr>
                <w:color w:val="000000" w:themeColor="text1"/>
                <w:sz w:val="20"/>
                <w:szCs w:val="20"/>
                <w:lang w:val="en-US"/>
              </w:rPr>
              <w:t>Raw materials and supplies</w:t>
            </w:r>
          </w:p>
        </w:tc>
        <w:tc>
          <w:tcPr>
            <w:tcW w:w="47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25,208</w:t>
            </w:r>
          </w:p>
        </w:tc>
        <w:tc>
          <w:tcPr>
            <w:tcW w:w="7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(1,965)</w:t>
            </w:r>
          </w:p>
        </w:tc>
        <w:tc>
          <w:tcPr>
            <w:tcW w:w="47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23,243</w:t>
            </w:r>
          </w:p>
        </w:tc>
        <w:tc>
          <w:tcPr>
            <w:tcW w:w="45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24,970</w:t>
            </w:r>
          </w:p>
        </w:tc>
        <w:tc>
          <w:tcPr>
            <w:tcW w:w="59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(2,006)</w:t>
            </w:r>
          </w:p>
        </w:tc>
        <w:tc>
          <w:tcPr>
            <w:tcW w:w="45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22,964</w:t>
            </w:r>
          </w:p>
        </w:tc>
      </w:tr>
      <w:tr w:rsidR="009072DB" w:rsidRPr="009C238A" w:rsidTr="009072DB">
        <w:trPr>
          <w:trHeight w:val="255"/>
        </w:trPr>
        <w:tc>
          <w:tcPr>
            <w:tcW w:w="1766" w:type="pct"/>
            <w:tcBorders>
              <w:top w:val="nil"/>
              <w:left w:val="nil"/>
              <w:bottom w:val="nil"/>
              <w:right w:val="nil"/>
            </w:tcBorders>
            <w:shd w:val="clear" w:color="auto" w:fill="auto"/>
            <w:vAlign w:val="center"/>
            <w:hideMark/>
          </w:tcPr>
          <w:p w:rsidR="009072DB" w:rsidRPr="009C238A" w:rsidRDefault="0011612E" w:rsidP="0011612E">
            <w:pPr>
              <w:rPr>
                <w:color w:val="000000" w:themeColor="text1"/>
                <w:sz w:val="20"/>
                <w:szCs w:val="20"/>
                <w:lang w:val="en-US"/>
              </w:rPr>
            </w:pPr>
            <w:r>
              <w:rPr>
                <w:color w:val="000000" w:themeColor="text1"/>
                <w:sz w:val="20"/>
                <w:szCs w:val="20"/>
                <w:lang w:val="en-US"/>
              </w:rPr>
              <w:t>Semi-finished goods</w:t>
            </w:r>
          </w:p>
        </w:tc>
        <w:tc>
          <w:tcPr>
            <w:tcW w:w="47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36,722</w:t>
            </w:r>
          </w:p>
        </w:tc>
        <w:tc>
          <w:tcPr>
            <w:tcW w:w="7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(2,412)</w:t>
            </w:r>
          </w:p>
        </w:tc>
        <w:tc>
          <w:tcPr>
            <w:tcW w:w="47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34,310</w:t>
            </w:r>
          </w:p>
        </w:tc>
        <w:tc>
          <w:tcPr>
            <w:tcW w:w="45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35,418</w:t>
            </w:r>
          </w:p>
        </w:tc>
        <w:tc>
          <w:tcPr>
            <w:tcW w:w="59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(2,770)</w:t>
            </w:r>
          </w:p>
        </w:tc>
        <w:tc>
          <w:tcPr>
            <w:tcW w:w="45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32,648</w:t>
            </w:r>
          </w:p>
        </w:tc>
      </w:tr>
      <w:tr w:rsidR="009072DB" w:rsidRPr="009C238A" w:rsidTr="009072DB">
        <w:trPr>
          <w:trHeight w:val="255"/>
        </w:trPr>
        <w:tc>
          <w:tcPr>
            <w:tcW w:w="1766" w:type="pct"/>
            <w:tcBorders>
              <w:top w:val="nil"/>
              <w:left w:val="nil"/>
              <w:bottom w:val="nil"/>
              <w:right w:val="nil"/>
            </w:tcBorders>
            <w:shd w:val="clear" w:color="auto" w:fill="auto"/>
            <w:noWrap/>
            <w:vAlign w:val="center"/>
            <w:hideMark/>
          </w:tcPr>
          <w:p w:rsidR="009072DB" w:rsidRPr="009C238A" w:rsidRDefault="009072DB" w:rsidP="009072DB">
            <w:pPr>
              <w:rPr>
                <w:color w:val="000000" w:themeColor="text1"/>
                <w:sz w:val="20"/>
                <w:szCs w:val="20"/>
                <w:lang w:val="en-US"/>
              </w:rPr>
            </w:pPr>
            <w:r w:rsidRPr="009C238A">
              <w:rPr>
                <w:color w:val="000000" w:themeColor="text1"/>
                <w:sz w:val="20"/>
                <w:szCs w:val="20"/>
                <w:lang w:val="en-US"/>
              </w:rPr>
              <w:t>Finished goods</w:t>
            </w:r>
          </w:p>
        </w:tc>
        <w:tc>
          <w:tcPr>
            <w:tcW w:w="47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29,171</w:t>
            </w:r>
          </w:p>
        </w:tc>
        <w:tc>
          <w:tcPr>
            <w:tcW w:w="7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(1,709)</w:t>
            </w:r>
          </w:p>
        </w:tc>
        <w:tc>
          <w:tcPr>
            <w:tcW w:w="47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27,462</w:t>
            </w:r>
          </w:p>
        </w:tc>
        <w:tc>
          <w:tcPr>
            <w:tcW w:w="45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29,950</w:t>
            </w:r>
          </w:p>
        </w:tc>
        <w:tc>
          <w:tcPr>
            <w:tcW w:w="59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(1,590)</w:t>
            </w:r>
          </w:p>
        </w:tc>
        <w:tc>
          <w:tcPr>
            <w:tcW w:w="45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28,360</w:t>
            </w:r>
          </w:p>
        </w:tc>
      </w:tr>
      <w:tr w:rsidR="009072DB" w:rsidRPr="009C238A" w:rsidTr="009072DB">
        <w:trPr>
          <w:trHeight w:val="255"/>
        </w:trPr>
        <w:tc>
          <w:tcPr>
            <w:tcW w:w="176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b/>
                <w:bCs/>
                <w:color w:val="000000" w:themeColor="text1"/>
                <w:sz w:val="20"/>
                <w:szCs w:val="20"/>
                <w:lang w:val="en-US"/>
              </w:rPr>
            </w:pPr>
            <w:r w:rsidRPr="009C238A">
              <w:rPr>
                <w:b/>
                <w:bCs/>
                <w:color w:val="000000" w:themeColor="text1"/>
                <w:sz w:val="20"/>
                <w:szCs w:val="20"/>
                <w:lang w:val="en-US"/>
              </w:rPr>
              <w:t>Total</w:t>
            </w:r>
          </w:p>
        </w:tc>
        <w:tc>
          <w:tcPr>
            <w:tcW w:w="474"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91,101</w:t>
            </w:r>
          </w:p>
        </w:tc>
        <w:tc>
          <w:tcPr>
            <w:tcW w:w="77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(6,086)</w:t>
            </w:r>
          </w:p>
        </w:tc>
        <w:tc>
          <w:tcPr>
            <w:tcW w:w="474"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85,015</w:t>
            </w:r>
          </w:p>
        </w:tc>
        <w:tc>
          <w:tcPr>
            <w:tcW w:w="45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90,338</w:t>
            </w:r>
          </w:p>
        </w:tc>
        <w:tc>
          <w:tcPr>
            <w:tcW w:w="59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(6,366)</w:t>
            </w:r>
          </w:p>
        </w:tc>
        <w:tc>
          <w:tcPr>
            <w:tcW w:w="455"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83,972</w:t>
            </w:r>
          </w:p>
        </w:tc>
      </w:tr>
    </w:tbl>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The table below shows the changes that occurred in the provisions for inventory write-downs:</w:t>
      </w:r>
    </w:p>
    <w:p w:rsidR="004432EB" w:rsidRPr="009C238A" w:rsidRDefault="004432EB" w:rsidP="009072DB">
      <w:pPr>
        <w:spacing w:before="240" w:line="240" w:lineRule="atLeast"/>
        <w:ind w:right="-54"/>
        <w:jc w:val="both"/>
        <w:rPr>
          <w:color w:val="000000" w:themeColor="text1"/>
          <w:lang w:val="en-US"/>
        </w:rPr>
      </w:pPr>
    </w:p>
    <w:tbl>
      <w:tblPr>
        <w:tblW w:w="5000" w:type="pct"/>
        <w:tblCellMar>
          <w:left w:w="70" w:type="dxa"/>
          <w:right w:w="70" w:type="dxa"/>
        </w:tblCellMar>
        <w:tblLook w:val="04A0"/>
      </w:tblPr>
      <w:tblGrid>
        <w:gridCol w:w="5814"/>
        <w:gridCol w:w="1454"/>
        <w:gridCol w:w="2504"/>
      </w:tblGrid>
      <w:tr w:rsidR="009072DB" w:rsidRPr="009C238A" w:rsidTr="009072DB">
        <w:trPr>
          <w:trHeight w:val="255"/>
        </w:trPr>
        <w:tc>
          <w:tcPr>
            <w:tcW w:w="2975"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both"/>
              <w:rPr>
                <w:b/>
                <w:bCs/>
                <w:color w:val="000000" w:themeColor="text1"/>
                <w:sz w:val="20"/>
                <w:szCs w:val="20"/>
                <w:lang w:val="en-US"/>
              </w:rPr>
            </w:pPr>
            <w:r w:rsidRPr="009C238A">
              <w:rPr>
                <w:i/>
                <w:iCs/>
                <w:color w:val="000000" w:themeColor="text1"/>
                <w:sz w:val="20"/>
                <w:szCs w:val="20"/>
                <w:lang w:val="en-US"/>
              </w:rPr>
              <w:t>(in thousands of euros)</w:t>
            </w:r>
          </w:p>
        </w:tc>
        <w:tc>
          <w:tcPr>
            <w:tcW w:w="74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1281"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12/31/2012</w:t>
            </w:r>
          </w:p>
        </w:tc>
      </w:tr>
      <w:tr w:rsidR="009072DB" w:rsidRPr="009C238A" w:rsidTr="009072DB">
        <w:trPr>
          <w:trHeight w:val="255"/>
        </w:trPr>
        <w:tc>
          <w:tcPr>
            <w:tcW w:w="2975" w:type="pct"/>
            <w:tcBorders>
              <w:top w:val="nil"/>
              <w:left w:val="nil"/>
              <w:bottom w:val="single" w:sz="4" w:space="0" w:color="auto"/>
              <w:right w:val="nil"/>
            </w:tcBorders>
            <w:shd w:val="clear" w:color="auto" w:fill="auto"/>
            <w:vAlign w:val="center"/>
            <w:hideMark/>
          </w:tcPr>
          <w:p w:rsidR="009072DB" w:rsidRPr="009C238A" w:rsidRDefault="009072DB" w:rsidP="009072DB">
            <w:pPr>
              <w:jc w:val="both"/>
              <w:rPr>
                <w:color w:val="000000" w:themeColor="text1"/>
                <w:sz w:val="20"/>
                <w:szCs w:val="20"/>
                <w:lang w:val="en-US"/>
              </w:rPr>
            </w:pPr>
            <w:r w:rsidRPr="009C238A">
              <w:rPr>
                <w:b/>
                <w:bCs/>
                <w:color w:val="000000" w:themeColor="text1"/>
                <w:sz w:val="20"/>
                <w:szCs w:val="20"/>
                <w:lang w:val="en-US"/>
              </w:rPr>
              <w:t>Opening balance</w:t>
            </w:r>
          </w:p>
        </w:tc>
        <w:tc>
          <w:tcPr>
            <w:tcW w:w="744"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6,366</w:t>
            </w:r>
          </w:p>
        </w:tc>
        <w:tc>
          <w:tcPr>
            <w:tcW w:w="1281"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6,521</w:t>
            </w:r>
          </w:p>
        </w:tc>
      </w:tr>
      <w:tr w:rsidR="009072DB" w:rsidRPr="009C238A" w:rsidTr="009072DB">
        <w:trPr>
          <w:trHeight w:val="255"/>
        </w:trPr>
        <w:tc>
          <w:tcPr>
            <w:tcW w:w="2975" w:type="pct"/>
            <w:tcBorders>
              <w:top w:val="nil"/>
              <w:left w:val="nil"/>
              <w:bottom w:val="nil"/>
              <w:right w:val="nil"/>
            </w:tcBorders>
            <w:shd w:val="clear" w:color="auto" w:fill="auto"/>
            <w:vAlign w:val="center"/>
            <w:hideMark/>
          </w:tcPr>
          <w:p w:rsidR="009072DB" w:rsidRPr="009C238A" w:rsidRDefault="009072DB" w:rsidP="009072DB">
            <w:pPr>
              <w:jc w:val="both"/>
              <w:rPr>
                <w:color w:val="000000" w:themeColor="text1"/>
                <w:sz w:val="20"/>
                <w:szCs w:val="20"/>
                <w:lang w:val="en-US"/>
              </w:rPr>
            </w:pPr>
            <w:r w:rsidRPr="009C238A">
              <w:rPr>
                <w:color w:val="000000" w:themeColor="text1"/>
                <w:sz w:val="20"/>
                <w:szCs w:val="20"/>
                <w:lang w:val="en-US"/>
              </w:rPr>
              <w:t>Additions for the period</w:t>
            </w:r>
          </w:p>
        </w:tc>
        <w:tc>
          <w:tcPr>
            <w:tcW w:w="74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600</w:t>
            </w:r>
          </w:p>
        </w:tc>
        <w:tc>
          <w:tcPr>
            <w:tcW w:w="1281"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755</w:t>
            </w:r>
          </w:p>
        </w:tc>
      </w:tr>
      <w:tr w:rsidR="009072DB" w:rsidRPr="009C238A" w:rsidTr="009072DB">
        <w:trPr>
          <w:trHeight w:val="255"/>
        </w:trPr>
        <w:tc>
          <w:tcPr>
            <w:tcW w:w="2975" w:type="pct"/>
            <w:tcBorders>
              <w:top w:val="nil"/>
              <w:left w:val="nil"/>
              <w:bottom w:val="nil"/>
              <w:right w:val="nil"/>
            </w:tcBorders>
            <w:shd w:val="clear" w:color="auto" w:fill="auto"/>
            <w:vAlign w:val="center"/>
            <w:hideMark/>
          </w:tcPr>
          <w:p w:rsidR="009072DB" w:rsidRPr="009C238A" w:rsidRDefault="009072DB" w:rsidP="009072DB">
            <w:pPr>
              <w:jc w:val="both"/>
              <w:rPr>
                <w:color w:val="000000" w:themeColor="text1"/>
                <w:sz w:val="20"/>
                <w:szCs w:val="20"/>
                <w:lang w:val="en-US"/>
              </w:rPr>
            </w:pPr>
            <w:r w:rsidRPr="009C238A">
              <w:rPr>
                <w:color w:val="000000" w:themeColor="text1"/>
                <w:sz w:val="20"/>
                <w:szCs w:val="20"/>
                <w:lang w:val="en-US"/>
              </w:rPr>
              <w:t>Utilizations/ reversals for the period</w:t>
            </w:r>
          </w:p>
        </w:tc>
        <w:tc>
          <w:tcPr>
            <w:tcW w:w="74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(734)</w:t>
            </w:r>
          </w:p>
        </w:tc>
        <w:tc>
          <w:tcPr>
            <w:tcW w:w="1281"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(826)</w:t>
            </w:r>
          </w:p>
        </w:tc>
      </w:tr>
      <w:tr w:rsidR="009072DB" w:rsidRPr="009C238A" w:rsidTr="009072DB">
        <w:trPr>
          <w:trHeight w:val="255"/>
        </w:trPr>
        <w:tc>
          <w:tcPr>
            <w:tcW w:w="2975" w:type="pct"/>
            <w:tcBorders>
              <w:top w:val="nil"/>
              <w:left w:val="nil"/>
              <w:bottom w:val="nil"/>
              <w:right w:val="nil"/>
            </w:tcBorders>
            <w:shd w:val="clear" w:color="auto" w:fill="auto"/>
            <w:vAlign w:val="center"/>
            <w:hideMark/>
          </w:tcPr>
          <w:p w:rsidR="009072DB" w:rsidRPr="009C238A" w:rsidRDefault="009072DB" w:rsidP="009072DB">
            <w:pPr>
              <w:jc w:val="both"/>
              <w:rPr>
                <w:color w:val="000000" w:themeColor="text1"/>
                <w:sz w:val="20"/>
                <w:szCs w:val="20"/>
                <w:lang w:val="en-US"/>
              </w:rPr>
            </w:pPr>
            <w:r w:rsidRPr="009C238A">
              <w:rPr>
                <w:color w:val="000000" w:themeColor="text1"/>
                <w:sz w:val="20"/>
                <w:szCs w:val="20"/>
                <w:lang w:val="en-US"/>
              </w:rPr>
              <w:t>Currency translation differences and other changes</w:t>
            </w:r>
          </w:p>
        </w:tc>
        <w:tc>
          <w:tcPr>
            <w:tcW w:w="744"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(146)</w:t>
            </w:r>
          </w:p>
        </w:tc>
        <w:tc>
          <w:tcPr>
            <w:tcW w:w="1281"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(84)</w:t>
            </w:r>
          </w:p>
        </w:tc>
      </w:tr>
      <w:tr w:rsidR="009072DB" w:rsidRPr="009C238A" w:rsidTr="009072DB">
        <w:trPr>
          <w:trHeight w:val="255"/>
        </w:trPr>
        <w:tc>
          <w:tcPr>
            <w:tcW w:w="2975"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both"/>
              <w:rPr>
                <w:b/>
                <w:bCs/>
                <w:color w:val="000000" w:themeColor="text1"/>
                <w:sz w:val="20"/>
                <w:szCs w:val="20"/>
                <w:lang w:val="en-US"/>
              </w:rPr>
            </w:pPr>
            <w:r w:rsidRPr="009C238A">
              <w:rPr>
                <w:b/>
                <w:bCs/>
                <w:color w:val="000000" w:themeColor="text1"/>
                <w:sz w:val="20"/>
                <w:szCs w:val="20"/>
                <w:lang w:val="en-US"/>
              </w:rPr>
              <w:t>Closing balance</w:t>
            </w:r>
          </w:p>
        </w:tc>
        <w:tc>
          <w:tcPr>
            <w:tcW w:w="744"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6,086</w:t>
            </w:r>
          </w:p>
        </w:tc>
        <w:tc>
          <w:tcPr>
            <w:tcW w:w="1281"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6,366</w:t>
            </w:r>
          </w:p>
        </w:tc>
      </w:tr>
    </w:tbl>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 xml:space="preserve">The increase of </w:t>
      </w:r>
      <w:r w:rsidRPr="009C238A">
        <w:rPr>
          <w:lang w:val="en-US"/>
        </w:rPr>
        <w:t xml:space="preserve">1,043 </w:t>
      </w:r>
      <w:r w:rsidRPr="009C238A">
        <w:rPr>
          <w:color w:val="000000" w:themeColor="text1"/>
          <w:lang w:val="en-US"/>
        </w:rPr>
        <w:t>thousand euros in ending inventory, compared with December 31, 2012, is due to higher inventories of strategic materials at the Group’s production facilities. These products are scheduled for launch in the coming months.</w:t>
      </w:r>
    </w:p>
    <w:p w:rsidR="009072DB" w:rsidRPr="009C238A" w:rsidRDefault="009072DB" w:rsidP="009072DB">
      <w:pPr>
        <w:pStyle w:val="Intestazione"/>
        <w:tabs>
          <w:tab w:val="clear" w:pos="4819"/>
          <w:tab w:val="left" w:pos="240"/>
          <w:tab w:val="center" w:pos="1843"/>
        </w:tabs>
        <w:jc w:val="both"/>
        <w:rPr>
          <w:lang w:val="en-US"/>
        </w:rPr>
      </w:pPr>
    </w:p>
    <w:p w:rsidR="009072DB" w:rsidRPr="009C238A" w:rsidRDefault="009072DB" w:rsidP="009072DB">
      <w:pPr>
        <w:pStyle w:val="Intestazione"/>
        <w:tabs>
          <w:tab w:val="clear" w:pos="4819"/>
          <w:tab w:val="left" w:pos="240"/>
          <w:tab w:val="center" w:pos="1843"/>
        </w:tabs>
        <w:jc w:val="both"/>
        <w:rPr>
          <w:b/>
          <w:bCs/>
          <w:color w:val="000000" w:themeColor="text1"/>
          <w:lang w:val="en-US"/>
        </w:rPr>
      </w:pPr>
      <w:r w:rsidRPr="009C238A">
        <w:rPr>
          <w:b/>
          <w:color w:val="000000" w:themeColor="text1"/>
          <w:lang w:val="en-US"/>
        </w:rPr>
        <w:t xml:space="preserve">(16) </w:t>
      </w:r>
      <w:r w:rsidRPr="009C238A">
        <w:rPr>
          <w:b/>
          <w:bCs/>
          <w:color w:val="000000" w:themeColor="text1"/>
          <w:lang w:val="en-US"/>
        </w:rPr>
        <w:t>Trade receivables</w:t>
      </w:r>
    </w:p>
    <w:p w:rsidR="009072DB" w:rsidRPr="009C238A" w:rsidRDefault="009072DB" w:rsidP="009072DB">
      <w:pPr>
        <w:pStyle w:val="Intestazione"/>
        <w:tabs>
          <w:tab w:val="clear" w:pos="4819"/>
          <w:tab w:val="left" w:pos="240"/>
          <w:tab w:val="center" w:pos="1843"/>
        </w:tabs>
        <w:jc w:val="both"/>
        <w:rPr>
          <w:b/>
          <w:color w:val="000000" w:themeColor="text1"/>
          <w:lang w:val="en-US"/>
        </w:rPr>
      </w:pPr>
    </w:p>
    <w:p w:rsidR="009072DB" w:rsidRPr="009C238A" w:rsidRDefault="009072DB" w:rsidP="009072DB">
      <w:pPr>
        <w:pStyle w:val="Intestazione"/>
        <w:tabs>
          <w:tab w:val="clear" w:pos="4819"/>
          <w:tab w:val="left" w:pos="240"/>
          <w:tab w:val="center" w:pos="1843"/>
        </w:tabs>
        <w:jc w:val="both"/>
        <w:rPr>
          <w:color w:val="000000" w:themeColor="text1"/>
          <w:lang w:val="en-US"/>
        </w:rPr>
      </w:pPr>
      <w:r w:rsidRPr="009C238A">
        <w:rPr>
          <w:color w:val="000000" w:themeColor="text1"/>
          <w:lang w:val="en-US"/>
        </w:rPr>
        <w:t xml:space="preserve">Trade receivables totaled </w:t>
      </w:r>
      <w:r w:rsidRPr="009C238A">
        <w:rPr>
          <w:lang w:val="en-US"/>
        </w:rPr>
        <w:t xml:space="preserve">113,559 </w:t>
      </w:r>
      <w:r w:rsidRPr="009C238A">
        <w:rPr>
          <w:color w:val="000000" w:themeColor="text1"/>
          <w:lang w:val="en-US"/>
        </w:rPr>
        <w:t xml:space="preserve">thousand euros at September 30, 2013. </w:t>
      </w:r>
      <w:r w:rsidRPr="009C238A">
        <w:rPr>
          <w:lang w:val="en-US"/>
        </w:rPr>
        <w:t xml:space="preserve"> </w:t>
      </w:r>
      <w:r w:rsidRPr="009C238A">
        <w:rPr>
          <w:color w:val="000000" w:themeColor="text1"/>
          <w:lang w:val="en-US"/>
        </w:rPr>
        <w:t>The table that follows shows the changes that occurred in the allowance for doubtful accounts, which amounted to 7,989 thousand euros at September 30, 2013:</w:t>
      </w:r>
    </w:p>
    <w:p w:rsidR="009072DB" w:rsidRPr="009C238A" w:rsidRDefault="009072DB" w:rsidP="009072DB">
      <w:pPr>
        <w:spacing w:before="240" w:line="240" w:lineRule="atLeast"/>
        <w:ind w:right="-54"/>
        <w:jc w:val="both"/>
        <w:rPr>
          <w:lang w:val="en-US"/>
        </w:rPr>
      </w:pPr>
    </w:p>
    <w:tbl>
      <w:tblPr>
        <w:tblW w:w="5000" w:type="pct"/>
        <w:tblCellMar>
          <w:left w:w="70" w:type="dxa"/>
          <w:right w:w="70" w:type="dxa"/>
        </w:tblCellMar>
        <w:tblLook w:val="04A0"/>
      </w:tblPr>
      <w:tblGrid>
        <w:gridCol w:w="4152"/>
        <w:gridCol w:w="2090"/>
        <w:gridCol w:w="3530"/>
      </w:tblGrid>
      <w:tr w:rsidR="009072DB" w:rsidRPr="009C238A" w:rsidTr="009072DB">
        <w:trPr>
          <w:trHeight w:val="315"/>
        </w:trPr>
        <w:tc>
          <w:tcPr>
            <w:tcW w:w="212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both"/>
              <w:rPr>
                <w:i/>
                <w:iCs/>
                <w:sz w:val="20"/>
                <w:szCs w:val="20"/>
                <w:lang w:val="en-US"/>
              </w:rPr>
            </w:pPr>
            <w:r w:rsidRPr="009C238A">
              <w:rPr>
                <w:i/>
                <w:iCs/>
                <w:color w:val="000000" w:themeColor="text1"/>
                <w:sz w:val="20"/>
                <w:szCs w:val="20"/>
                <w:lang w:val="en-US"/>
              </w:rPr>
              <w:t>(in thousands of euros)</w:t>
            </w:r>
          </w:p>
        </w:tc>
        <w:tc>
          <w:tcPr>
            <w:tcW w:w="1069"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180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12/31/2012</w:t>
            </w:r>
          </w:p>
        </w:tc>
      </w:tr>
      <w:tr w:rsidR="009072DB" w:rsidRPr="009C238A" w:rsidTr="009072DB">
        <w:trPr>
          <w:trHeight w:val="255"/>
        </w:trPr>
        <w:tc>
          <w:tcPr>
            <w:tcW w:w="2124" w:type="pct"/>
            <w:tcBorders>
              <w:top w:val="nil"/>
              <w:left w:val="nil"/>
              <w:bottom w:val="single" w:sz="4" w:space="0" w:color="auto"/>
              <w:right w:val="nil"/>
            </w:tcBorders>
            <w:shd w:val="clear" w:color="auto" w:fill="auto"/>
            <w:vAlign w:val="center"/>
            <w:hideMark/>
          </w:tcPr>
          <w:p w:rsidR="009072DB" w:rsidRPr="009C238A" w:rsidRDefault="009072DB" w:rsidP="009072DB">
            <w:pPr>
              <w:ind w:right="-241"/>
              <w:jc w:val="both"/>
              <w:rPr>
                <w:color w:val="000000" w:themeColor="text1"/>
                <w:sz w:val="20"/>
                <w:szCs w:val="20"/>
                <w:lang w:val="en-US"/>
              </w:rPr>
            </w:pPr>
            <w:r w:rsidRPr="009C238A">
              <w:rPr>
                <w:b/>
                <w:bCs/>
                <w:color w:val="000000" w:themeColor="text1"/>
                <w:sz w:val="20"/>
                <w:szCs w:val="20"/>
                <w:lang w:val="en-US"/>
              </w:rPr>
              <w:t>Opening balance</w:t>
            </w:r>
          </w:p>
        </w:tc>
        <w:tc>
          <w:tcPr>
            <w:tcW w:w="1069"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8,330</w:t>
            </w:r>
          </w:p>
        </w:tc>
        <w:tc>
          <w:tcPr>
            <w:tcW w:w="1806"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8,338</w:t>
            </w:r>
          </w:p>
        </w:tc>
      </w:tr>
      <w:tr w:rsidR="009072DB" w:rsidRPr="009C238A" w:rsidTr="009072DB">
        <w:trPr>
          <w:trHeight w:val="255"/>
        </w:trPr>
        <w:tc>
          <w:tcPr>
            <w:tcW w:w="2124" w:type="pct"/>
            <w:tcBorders>
              <w:top w:val="nil"/>
              <w:left w:val="nil"/>
              <w:bottom w:val="nil"/>
              <w:right w:val="nil"/>
            </w:tcBorders>
            <w:shd w:val="clear" w:color="auto" w:fill="auto"/>
            <w:vAlign w:val="center"/>
            <w:hideMark/>
          </w:tcPr>
          <w:p w:rsidR="009072DB" w:rsidRPr="009C238A" w:rsidRDefault="009072DB" w:rsidP="009072DB">
            <w:pPr>
              <w:ind w:right="-241"/>
              <w:jc w:val="both"/>
              <w:rPr>
                <w:color w:val="000000" w:themeColor="text1"/>
                <w:sz w:val="20"/>
                <w:szCs w:val="20"/>
                <w:lang w:val="en-US"/>
              </w:rPr>
            </w:pPr>
            <w:r w:rsidRPr="009C238A">
              <w:rPr>
                <w:color w:val="000000" w:themeColor="text1"/>
                <w:sz w:val="20"/>
                <w:szCs w:val="20"/>
                <w:lang w:val="en-US"/>
              </w:rPr>
              <w:t>Additions for the period</w:t>
            </w:r>
          </w:p>
        </w:tc>
        <w:tc>
          <w:tcPr>
            <w:tcW w:w="106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558</w:t>
            </w:r>
          </w:p>
        </w:tc>
        <w:tc>
          <w:tcPr>
            <w:tcW w:w="180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992</w:t>
            </w:r>
          </w:p>
        </w:tc>
      </w:tr>
      <w:tr w:rsidR="009072DB" w:rsidRPr="009C238A" w:rsidTr="009072DB">
        <w:trPr>
          <w:trHeight w:val="255"/>
        </w:trPr>
        <w:tc>
          <w:tcPr>
            <w:tcW w:w="2124" w:type="pct"/>
            <w:tcBorders>
              <w:top w:val="nil"/>
              <w:left w:val="nil"/>
              <w:bottom w:val="nil"/>
              <w:right w:val="nil"/>
            </w:tcBorders>
            <w:shd w:val="clear" w:color="auto" w:fill="auto"/>
            <w:vAlign w:val="center"/>
            <w:hideMark/>
          </w:tcPr>
          <w:p w:rsidR="009072DB" w:rsidRPr="009C238A" w:rsidRDefault="009072DB" w:rsidP="009072DB">
            <w:pPr>
              <w:ind w:right="-241"/>
              <w:jc w:val="both"/>
              <w:rPr>
                <w:color w:val="000000" w:themeColor="text1"/>
                <w:sz w:val="20"/>
                <w:szCs w:val="20"/>
                <w:lang w:val="en-US"/>
              </w:rPr>
            </w:pPr>
            <w:r w:rsidRPr="009C238A">
              <w:rPr>
                <w:color w:val="000000" w:themeColor="text1"/>
                <w:sz w:val="20"/>
                <w:szCs w:val="20"/>
                <w:lang w:val="en-US"/>
              </w:rPr>
              <w:t>Utilizations/ reversals for the period</w:t>
            </w:r>
          </w:p>
        </w:tc>
        <w:tc>
          <w:tcPr>
            <w:tcW w:w="106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(623)</w:t>
            </w:r>
          </w:p>
        </w:tc>
        <w:tc>
          <w:tcPr>
            <w:tcW w:w="180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(725)</w:t>
            </w:r>
          </w:p>
        </w:tc>
      </w:tr>
      <w:tr w:rsidR="009072DB" w:rsidRPr="009C238A" w:rsidTr="009072DB">
        <w:trPr>
          <w:trHeight w:val="255"/>
        </w:trPr>
        <w:tc>
          <w:tcPr>
            <w:tcW w:w="2124" w:type="pct"/>
            <w:tcBorders>
              <w:top w:val="nil"/>
              <w:left w:val="nil"/>
              <w:bottom w:val="nil"/>
              <w:right w:val="nil"/>
            </w:tcBorders>
            <w:shd w:val="clear" w:color="auto" w:fill="auto"/>
            <w:vAlign w:val="center"/>
            <w:hideMark/>
          </w:tcPr>
          <w:p w:rsidR="009072DB" w:rsidRPr="009C238A" w:rsidRDefault="009072DB" w:rsidP="009072DB">
            <w:pPr>
              <w:ind w:right="-241"/>
              <w:jc w:val="both"/>
              <w:rPr>
                <w:color w:val="000000" w:themeColor="text1"/>
                <w:sz w:val="20"/>
                <w:szCs w:val="20"/>
                <w:lang w:val="en-US"/>
              </w:rPr>
            </w:pPr>
            <w:r w:rsidRPr="009C238A">
              <w:rPr>
                <w:color w:val="000000" w:themeColor="text1"/>
                <w:sz w:val="20"/>
                <w:szCs w:val="20"/>
                <w:lang w:val="en-US"/>
              </w:rPr>
              <w:t>Currency translation differences and other changes</w:t>
            </w:r>
          </w:p>
        </w:tc>
        <w:tc>
          <w:tcPr>
            <w:tcW w:w="106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(276)</w:t>
            </w:r>
          </w:p>
        </w:tc>
        <w:tc>
          <w:tcPr>
            <w:tcW w:w="1806"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(275)</w:t>
            </w:r>
          </w:p>
        </w:tc>
      </w:tr>
      <w:tr w:rsidR="009072DB" w:rsidRPr="009C238A" w:rsidTr="009072DB">
        <w:trPr>
          <w:trHeight w:val="255"/>
        </w:trPr>
        <w:tc>
          <w:tcPr>
            <w:tcW w:w="212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ind w:right="-241"/>
              <w:jc w:val="both"/>
              <w:rPr>
                <w:b/>
                <w:bCs/>
                <w:color w:val="000000" w:themeColor="text1"/>
                <w:sz w:val="20"/>
                <w:szCs w:val="20"/>
                <w:lang w:val="en-US"/>
              </w:rPr>
            </w:pPr>
            <w:r w:rsidRPr="009C238A">
              <w:rPr>
                <w:b/>
                <w:bCs/>
                <w:color w:val="000000" w:themeColor="text1"/>
                <w:sz w:val="20"/>
                <w:szCs w:val="20"/>
                <w:lang w:val="en-US"/>
              </w:rPr>
              <w:t>Closing balance</w:t>
            </w:r>
          </w:p>
        </w:tc>
        <w:tc>
          <w:tcPr>
            <w:tcW w:w="106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7,989</w:t>
            </w:r>
          </w:p>
        </w:tc>
        <w:tc>
          <w:tcPr>
            <w:tcW w:w="180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8,330</w:t>
            </w:r>
          </w:p>
        </w:tc>
      </w:tr>
    </w:tbl>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In order to bridge the gap between contractual payment terms and actual collection dates, the Group assigns its receivables to factors without recourse. The receivables assigned by the Group’s Parent Company in the first nine months of 2013 totaled 33,807 thousand euros.</w:t>
      </w:r>
    </w:p>
    <w:p w:rsidR="004432EB" w:rsidRPr="009C238A" w:rsidRDefault="004432EB" w:rsidP="009072DB">
      <w:pPr>
        <w:spacing w:before="240" w:line="240" w:lineRule="atLeast"/>
        <w:ind w:right="-54"/>
        <w:jc w:val="both"/>
        <w:rPr>
          <w:color w:val="000000" w:themeColor="text1"/>
          <w:lang w:val="en-US"/>
        </w:rPr>
      </w:pPr>
    </w:p>
    <w:p w:rsidR="009072DB" w:rsidRPr="009C238A" w:rsidRDefault="009072DB" w:rsidP="009072DB">
      <w:pPr>
        <w:pStyle w:val="Intestazione"/>
        <w:tabs>
          <w:tab w:val="clear" w:pos="4819"/>
          <w:tab w:val="left" w:pos="240"/>
          <w:tab w:val="center" w:pos="1843"/>
        </w:tabs>
        <w:jc w:val="both"/>
        <w:rPr>
          <w:b/>
          <w:color w:val="000000" w:themeColor="text1"/>
          <w:lang w:val="en-US"/>
        </w:rPr>
      </w:pPr>
      <w:r w:rsidRPr="009C238A">
        <w:rPr>
          <w:b/>
          <w:color w:val="000000" w:themeColor="text1"/>
          <w:lang w:val="en-US"/>
        </w:rPr>
        <w:t xml:space="preserve">(17) </w:t>
      </w:r>
      <w:r w:rsidRPr="009C238A">
        <w:rPr>
          <w:b/>
          <w:bCs/>
          <w:color w:val="000000" w:themeColor="text1"/>
          <w:lang w:val="en-US"/>
        </w:rPr>
        <w:t>Other current assets</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Other current assets of 8,077 thousand euros (10,540 thousand euros at December 31, 2012) consist mainly of accrued income and prepaid expenses for insurance, interest, rentals and government grants, tax credits for foreign taxes withheld and advances paid to suppliers.</w:t>
      </w:r>
    </w:p>
    <w:p w:rsidR="009072DB" w:rsidRPr="009C238A" w:rsidRDefault="009072DB" w:rsidP="009072DB">
      <w:pPr>
        <w:pStyle w:val="Corpodeltesto"/>
        <w:tabs>
          <w:tab w:val="right" w:pos="5670"/>
          <w:tab w:val="right" w:pos="7372"/>
        </w:tabs>
        <w:rPr>
          <w:lang w:val="en-US"/>
        </w:rPr>
      </w:pPr>
    </w:p>
    <w:p w:rsidR="009072DB" w:rsidRPr="009C238A" w:rsidRDefault="009072DB" w:rsidP="009072DB">
      <w:pPr>
        <w:pStyle w:val="Corpodeltesto"/>
        <w:tabs>
          <w:tab w:val="right" w:pos="5670"/>
          <w:tab w:val="right" w:pos="7372"/>
        </w:tabs>
        <w:rPr>
          <w:highlight w:val="yellow"/>
          <w:lang w:val="en-US"/>
        </w:rPr>
      </w:pPr>
    </w:p>
    <w:p w:rsidR="009072DB" w:rsidRPr="009C238A" w:rsidRDefault="004432EB" w:rsidP="009072DB">
      <w:pPr>
        <w:pStyle w:val="Intestazione"/>
        <w:tabs>
          <w:tab w:val="clear" w:pos="4819"/>
          <w:tab w:val="left" w:pos="240"/>
          <w:tab w:val="center" w:pos="1843"/>
        </w:tabs>
        <w:jc w:val="both"/>
        <w:rPr>
          <w:b/>
          <w:color w:val="000000" w:themeColor="text1"/>
          <w:lang w:val="en-US"/>
        </w:rPr>
      </w:pPr>
      <w:r w:rsidRPr="009C238A">
        <w:rPr>
          <w:b/>
          <w:color w:val="000000" w:themeColor="text1"/>
          <w:lang w:val="en-US"/>
        </w:rPr>
        <w:t>(</w:t>
      </w:r>
      <w:r w:rsidR="009072DB" w:rsidRPr="009C238A">
        <w:rPr>
          <w:b/>
          <w:color w:val="000000" w:themeColor="text1"/>
          <w:lang w:val="en-US"/>
        </w:rPr>
        <w:t xml:space="preserve">18) </w:t>
      </w:r>
      <w:r w:rsidR="009072DB" w:rsidRPr="009C238A">
        <w:rPr>
          <w:b/>
          <w:bCs/>
          <w:color w:val="000000" w:themeColor="text1"/>
          <w:lang w:val="en-US"/>
        </w:rPr>
        <w:t>Cash and cash equivalents</w:t>
      </w:r>
    </w:p>
    <w:p w:rsidR="009072DB" w:rsidRPr="009C238A" w:rsidRDefault="009072DB" w:rsidP="009072DB">
      <w:pPr>
        <w:spacing w:before="240" w:line="240" w:lineRule="atLeast"/>
        <w:ind w:right="-54"/>
        <w:jc w:val="both"/>
        <w:rPr>
          <w:b/>
          <w:highlight w:val="yellow"/>
          <w:lang w:val="en-US"/>
        </w:rPr>
      </w:pPr>
      <w:r w:rsidRPr="009C238A">
        <w:rPr>
          <w:color w:val="000000" w:themeColor="text1"/>
          <w:lang w:val="en-US"/>
        </w:rPr>
        <w:t xml:space="preserve">The components of cash and cash equivalents, which totaled </w:t>
      </w:r>
      <w:r w:rsidRPr="009C238A">
        <w:rPr>
          <w:lang w:val="en-US"/>
        </w:rPr>
        <w:t xml:space="preserve">92,361 </w:t>
      </w:r>
      <w:r w:rsidRPr="009C238A">
        <w:rPr>
          <w:color w:val="000000" w:themeColor="text1"/>
          <w:lang w:val="en-US"/>
        </w:rPr>
        <w:t>thousand euros (104,599 thousand euros at December 31, 2012), include regular bank and postal accounts and short-term bank deposits.</w:t>
      </w:r>
    </w:p>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pStyle w:val="Intestazione"/>
        <w:tabs>
          <w:tab w:val="clear" w:pos="4819"/>
          <w:tab w:val="left" w:pos="240"/>
          <w:tab w:val="center" w:pos="1843"/>
        </w:tabs>
        <w:jc w:val="both"/>
        <w:rPr>
          <w:b/>
          <w:bCs/>
          <w:color w:val="000000" w:themeColor="text1"/>
          <w:sz w:val="23"/>
          <w:szCs w:val="23"/>
          <w:lang w:val="en-US"/>
        </w:rPr>
      </w:pPr>
      <w:r w:rsidRPr="009C238A">
        <w:rPr>
          <w:b/>
          <w:color w:val="000000" w:themeColor="text1"/>
          <w:lang w:val="en-US"/>
        </w:rPr>
        <w:t xml:space="preserve">(19) </w:t>
      </w:r>
      <w:r w:rsidRPr="009C238A">
        <w:rPr>
          <w:b/>
          <w:bCs/>
          <w:color w:val="000000" w:themeColor="text1"/>
          <w:sz w:val="23"/>
          <w:szCs w:val="23"/>
          <w:lang w:val="en-US"/>
        </w:rPr>
        <w:t>Shareholders’ equity</w:t>
      </w:r>
    </w:p>
    <w:p w:rsidR="009072DB" w:rsidRPr="009C238A" w:rsidRDefault="009072DB" w:rsidP="009072DB">
      <w:pPr>
        <w:pStyle w:val="Intestazione"/>
        <w:tabs>
          <w:tab w:val="clear" w:pos="4819"/>
          <w:tab w:val="left" w:pos="240"/>
          <w:tab w:val="center" w:pos="1843"/>
        </w:tabs>
        <w:jc w:val="both"/>
        <w:rPr>
          <w:b/>
          <w:color w:val="000000" w:themeColor="text1"/>
          <w:lang w:val="en-US"/>
        </w:rPr>
      </w:pPr>
    </w:p>
    <w:p w:rsidR="009072DB" w:rsidRPr="009C238A" w:rsidRDefault="009072DB" w:rsidP="009072DB">
      <w:pPr>
        <w:ind w:right="-20"/>
        <w:jc w:val="both"/>
        <w:rPr>
          <w:b/>
          <w:bCs/>
          <w:color w:val="000000" w:themeColor="text1"/>
          <w:sz w:val="23"/>
          <w:szCs w:val="23"/>
          <w:lang w:val="en-US"/>
        </w:rPr>
      </w:pPr>
      <w:r w:rsidRPr="009C238A">
        <w:rPr>
          <w:b/>
          <w:bCs/>
          <w:color w:val="000000" w:themeColor="text1"/>
          <w:sz w:val="23"/>
          <w:szCs w:val="23"/>
          <w:lang w:val="en-US"/>
        </w:rPr>
        <w:t>Share capital</w:t>
      </w:r>
    </w:p>
    <w:p w:rsidR="009072DB" w:rsidRPr="009C238A" w:rsidRDefault="009072DB" w:rsidP="009072DB">
      <w:pPr>
        <w:ind w:right="-20"/>
        <w:jc w:val="both"/>
        <w:rPr>
          <w:b/>
          <w:color w:val="000000" w:themeColor="text1"/>
          <w:lang w:val="en-US"/>
        </w:rPr>
      </w:pPr>
    </w:p>
    <w:p w:rsidR="009072DB" w:rsidRPr="009C238A" w:rsidRDefault="009072DB" w:rsidP="009072DB">
      <w:pPr>
        <w:pStyle w:val="Rientronormale"/>
        <w:ind w:left="0"/>
        <w:jc w:val="both"/>
        <w:rPr>
          <w:color w:val="000000" w:themeColor="text1"/>
          <w:sz w:val="23"/>
          <w:szCs w:val="23"/>
          <w:lang w:val="en-US"/>
        </w:rPr>
      </w:pPr>
      <w:r w:rsidRPr="009C238A">
        <w:rPr>
          <w:color w:val="000000" w:themeColor="text1"/>
          <w:sz w:val="23"/>
          <w:szCs w:val="23"/>
          <w:lang w:val="en-US"/>
        </w:rPr>
        <w:t>At September 30, 2013, the fully paid-in share capital consisted of 55,908 million common shares, par value of 1 euro each. In the first nine months of 2013, it increased by 45 thousand euros, due to a capital increase carried out in connection with the 2007-2012 Stock Option Plan.</w:t>
      </w:r>
    </w:p>
    <w:p w:rsidR="009072DB" w:rsidRPr="009C238A" w:rsidRDefault="009072DB" w:rsidP="009072DB">
      <w:pPr>
        <w:pStyle w:val="Rientronormale"/>
        <w:ind w:left="0"/>
        <w:jc w:val="both"/>
        <w:rPr>
          <w:lang w:val="en-US" w:eastAsia="it-IT"/>
        </w:rPr>
      </w:pPr>
    </w:p>
    <w:p w:rsidR="009072DB" w:rsidRPr="009C238A" w:rsidRDefault="009072DB" w:rsidP="009072DB">
      <w:pPr>
        <w:spacing w:before="240" w:line="240" w:lineRule="atLeast"/>
        <w:ind w:right="-54"/>
        <w:jc w:val="both"/>
        <w:rPr>
          <w:b/>
          <w:bCs/>
          <w:color w:val="000000" w:themeColor="text1"/>
          <w:lang w:val="en-US"/>
        </w:rPr>
      </w:pPr>
      <w:r w:rsidRPr="009C238A">
        <w:rPr>
          <w:b/>
          <w:bCs/>
          <w:color w:val="000000" w:themeColor="text1"/>
          <w:lang w:val="en-US"/>
        </w:rPr>
        <w:t xml:space="preserve">Additional paid-in capital </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This account, which had a balance of 17,007 thousand euros, increased by 1,040 thousand euros, compared with December 31, 2012, due to a capital increase carried out in connection with the 2007-2012 Stock Option Plan.</w:t>
      </w:r>
    </w:p>
    <w:p w:rsidR="009072DB" w:rsidRPr="009C238A" w:rsidRDefault="009072DB" w:rsidP="009072DB">
      <w:pPr>
        <w:pStyle w:val="Rientronormale"/>
        <w:ind w:left="0"/>
        <w:jc w:val="both"/>
        <w:rPr>
          <w:highlight w:val="yellow"/>
          <w:lang w:val="en-US"/>
        </w:rPr>
      </w:pPr>
    </w:p>
    <w:p w:rsidR="009072DB" w:rsidRPr="009C238A" w:rsidRDefault="009072DB" w:rsidP="009072DB">
      <w:pPr>
        <w:widowControl w:val="0"/>
        <w:autoSpaceDE w:val="0"/>
        <w:autoSpaceDN w:val="0"/>
        <w:adjustRightInd w:val="0"/>
        <w:jc w:val="both"/>
        <w:rPr>
          <w:b/>
          <w:bCs/>
          <w:color w:val="000000" w:themeColor="text1"/>
          <w:lang w:val="en-US"/>
        </w:rPr>
      </w:pPr>
      <w:r w:rsidRPr="009C238A">
        <w:rPr>
          <w:b/>
          <w:bCs/>
          <w:color w:val="000000" w:themeColor="text1"/>
          <w:lang w:val="en-US"/>
        </w:rPr>
        <w:t xml:space="preserve">Statutory reserve </w:t>
      </w:r>
    </w:p>
    <w:p w:rsidR="009072DB" w:rsidRPr="009C238A" w:rsidRDefault="009072DB" w:rsidP="009072DB">
      <w:pPr>
        <w:ind w:right="-20"/>
        <w:jc w:val="both"/>
        <w:rPr>
          <w:b/>
          <w:color w:val="000000" w:themeColor="text1"/>
          <w:lang w:val="en-US"/>
        </w:rPr>
      </w:pPr>
    </w:p>
    <w:p w:rsidR="009072DB" w:rsidRPr="009C238A" w:rsidRDefault="009072DB" w:rsidP="009072DB">
      <w:pPr>
        <w:ind w:right="-20"/>
        <w:jc w:val="both"/>
        <w:rPr>
          <w:color w:val="000000" w:themeColor="text1"/>
          <w:lang w:val="en-US"/>
        </w:rPr>
      </w:pPr>
      <w:r w:rsidRPr="009C238A">
        <w:rPr>
          <w:color w:val="000000" w:themeColor="text1"/>
          <w:lang w:val="en-US"/>
        </w:rPr>
        <w:t xml:space="preserve">This reserve amounted to 11,181 thousand euros at September 30, 2013. The appropriation of the 2012 net </w:t>
      </w:r>
      <w:r w:rsidR="00297CF4" w:rsidRPr="009C238A">
        <w:rPr>
          <w:color w:val="000000" w:themeColor="text1"/>
          <w:lang w:val="en-US"/>
        </w:rPr>
        <w:t>profit accounts for the change</w:t>
      </w:r>
      <w:r w:rsidRPr="009C238A">
        <w:rPr>
          <w:color w:val="000000" w:themeColor="text1"/>
          <w:lang w:val="en-US"/>
        </w:rPr>
        <w:t xml:space="preserve"> compared with December 31, 2012</w:t>
      </w:r>
      <w:r w:rsidR="00297CF4" w:rsidRPr="009C238A">
        <w:rPr>
          <w:color w:val="000000" w:themeColor="text1"/>
          <w:lang w:val="en-US"/>
        </w:rPr>
        <w:t>.</w:t>
      </w:r>
    </w:p>
    <w:p w:rsidR="009072DB" w:rsidRPr="009C238A" w:rsidRDefault="009072DB" w:rsidP="009072DB">
      <w:pPr>
        <w:rPr>
          <w:b/>
          <w:lang w:val="en-US"/>
        </w:rPr>
      </w:pPr>
    </w:p>
    <w:p w:rsidR="009072DB" w:rsidRPr="009C238A" w:rsidRDefault="009072DB" w:rsidP="009072DB">
      <w:pPr>
        <w:ind w:right="-20"/>
        <w:jc w:val="both"/>
        <w:rPr>
          <w:b/>
          <w:color w:val="000000" w:themeColor="text1"/>
          <w:lang w:val="en-US"/>
        </w:rPr>
      </w:pPr>
      <w:r w:rsidRPr="009C238A">
        <w:rPr>
          <w:b/>
          <w:color w:val="000000" w:themeColor="text1"/>
          <w:lang w:val="en-US"/>
        </w:rPr>
        <w:t>Other reserves</w:t>
      </w:r>
    </w:p>
    <w:p w:rsidR="009072DB" w:rsidRPr="009C238A" w:rsidRDefault="009072DB" w:rsidP="009072DB">
      <w:pPr>
        <w:ind w:right="-20"/>
        <w:jc w:val="both"/>
        <w:rPr>
          <w:b/>
          <w:color w:val="000000" w:themeColor="text1"/>
          <w:lang w:val="en-US"/>
        </w:rPr>
      </w:pPr>
    </w:p>
    <w:p w:rsidR="009072DB" w:rsidRPr="009C238A" w:rsidRDefault="009072DB" w:rsidP="009072DB">
      <w:pPr>
        <w:pStyle w:val="Rientronormale"/>
        <w:ind w:left="0"/>
        <w:jc w:val="both"/>
        <w:rPr>
          <w:color w:val="000000" w:themeColor="text1"/>
          <w:lang w:val="en-US"/>
        </w:rPr>
      </w:pPr>
      <w:r w:rsidRPr="009C238A">
        <w:rPr>
          <w:color w:val="000000" w:themeColor="text1"/>
          <w:lang w:val="en-US"/>
        </w:rPr>
        <w:t>A breakdown of other reserves is as follows:</w:t>
      </w:r>
    </w:p>
    <w:p w:rsidR="009072DB" w:rsidRPr="009C238A" w:rsidRDefault="009072DB" w:rsidP="009072DB">
      <w:pPr>
        <w:pStyle w:val="Rientronormale"/>
        <w:ind w:left="0"/>
        <w:jc w:val="both"/>
        <w:rPr>
          <w:highlight w:val="yellow"/>
          <w:lang w:val="en-US"/>
        </w:rPr>
      </w:pPr>
    </w:p>
    <w:tbl>
      <w:tblPr>
        <w:tblW w:w="5000" w:type="pct"/>
        <w:tblCellMar>
          <w:left w:w="70" w:type="dxa"/>
          <w:right w:w="70" w:type="dxa"/>
        </w:tblCellMar>
        <w:tblLook w:val="04A0"/>
      </w:tblPr>
      <w:tblGrid>
        <w:gridCol w:w="6403"/>
        <w:gridCol w:w="1096"/>
        <w:gridCol w:w="1137"/>
        <w:gridCol w:w="1136"/>
      </w:tblGrid>
      <w:tr w:rsidR="009072DB" w:rsidRPr="009C238A" w:rsidTr="009072DB">
        <w:trPr>
          <w:trHeight w:val="255"/>
        </w:trPr>
        <w:tc>
          <w:tcPr>
            <w:tcW w:w="3276"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i/>
                <w:iCs/>
                <w:sz w:val="18"/>
                <w:szCs w:val="18"/>
                <w:lang w:val="en-US"/>
              </w:rPr>
            </w:pPr>
            <w:r w:rsidRPr="009C238A">
              <w:rPr>
                <w:i/>
                <w:iCs/>
                <w:color w:val="000000" w:themeColor="text1"/>
                <w:sz w:val="20"/>
                <w:szCs w:val="20"/>
                <w:lang w:val="en-US"/>
              </w:rPr>
              <w:t>(in thousands of euros)</w:t>
            </w:r>
          </w:p>
        </w:tc>
        <w:tc>
          <w:tcPr>
            <w:tcW w:w="561"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58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12/31/2012</w:t>
            </w:r>
          </w:p>
        </w:tc>
        <w:tc>
          <w:tcPr>
            <w:tcW w:w="582"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Change</w:t>
            </w:r>
          </w:p>
        </w:tc>
      </w:tr>
      <w:tr w:rsidR="009072DB" w:rsidRPr="009C238A" w:rsidTr="009072DB">
        <w:trPr>
          <w:trHeight w:val="255"/>
        </w:trPr>
        <w:tc>
          <w:tcPr>
            <w:tcW w:w="3276"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Currency translation reserve</w:t>
            </w:r>
          </w:p>
        </w:tc>
        <w:tc>
          <w:tcPr>
            <w:tcW w:w="561" w:type="pct"/>
            <w:tcBorders>
              <w:top w:val="nil"/>
              <w:left w:val="nil"/>
              <w:bottom w:val="nil"/>
              <w:right w:val="nil"/>
            </w:tcBorders>
            <w:shd w:val="clear" w:color="000000" w:fill="FFFFFF"/>
            <w:noWrap/>
            <w:vAlign w:val="center"/>
            <w:hideMark/>
          </w:tcPr>
          <w:p w:rsidR="009072DB" w:rsidRPr="009C238A" w:rsidRDefault="00297CF4" w:rsidP="009072DB">
            <w:pPr>
              <w:jc w:val="right"/>
              <w:rPr>
                <w:sz w:val="20"/>
                <w:szCs w:val="20"/>
                <w:lang w:val="en-US"/>
              </w:rPr>
            </w:pPr>
            <w:r w:rsidRPr="009C238A">
              <w:rPr>
                <w:sz w:val="20"/>
                <w:szCs w:val="20"/>
                <w:lang w:val="en-US"/>
              </w:rPr>
              <w:t>(1,999</w:t>
            </w:r>
            <w:r w:rsidR="009072DB" w:rsidRPr="009C238A">
              <w:rPr>
                <w:sz w:val="20"/>
                <w:szCs w:val="20"/>
                <w:lang w:val="en-US"/>
              </w:rPr>
              <w:t>)</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3,476</w:t>
            </w:r>
          </w:p>
        </w:tc>
        <w:tc>
          <w:tcPr>
            <w:tcW w:w="582" w:type="pct"/>
            <w:tcBorders>
              <w:top w:val="nil"/>
              <w:left w:val="nil"/>
              <w:bottom w:val="nil"/>
              <w:right w:val="nil"/>
            </w:tcBorders>
            <w:shd w:val="clear" w:color="000000" w:fill="FFFFFF"/>
            <w:noWrap/>
            <w:vAlign w:val="center"/>
            <w:hideMark/>
          </w:tcPr>
          <w:p w:rsidR="009072DB" w:rsidRPr="009C238A" w:rsidRDefault="00297CF4" w:rsidP="009072DB">
            <w:pPr>
              <w:jc w:val="right"/>
              <w:rPr>
                <w:sz w:val="20"/>
                <w:szCs w:val="20"/>
                <w:lang w:val="en-US"/>
              </w:rPr>
            </w:pPr>
            <w:r w:rsidRPr="009C238A">
              <w:rPr>
                <w:sz w:val="20"/>
                <w:szCs w:val="20"/>
                <w:lang w:val="en-US"/>
              </w:rPr>
              <w:t>(5,475</w:t>
            </w:r>
            <w:r w:rsidR="009072DB" w:rsidRPr="009C238A">
              <w:rPr>
                <w:sz w:val="20"/>
                <w:szCs w:val="20"/>
                <w:lang w:val="en-US"/>
              </w:rPr>
              <w:t>)</w:t>
            </w:r>
          </w:p>
        </w:tc>
      </w:tr>
      <w:tr w:rsidR="009072DB" w:rsidRPr="009C238A" w:rsidTr="009072DB">
        <w:trPr>
          <w:trHeight w:val="255"/>
        </w:trPr>
        <w:tc>
          <w:tcPr>
            <w:tcW w:w="3276"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Reserve for treasury stock</w:t>
            </w:r>
          </w:p>
        </w:tc>
        <w:tc>
          <w:tcPr>
            <w:tcW w:w="56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44,882</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44,882</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w:t>
            </w:r>
          </w:p>
        </w:tc>
      </w:tr>
      <w:tr w:rsidR="009072DB" w:rsidRPr="009C238A" w:rsidTr="009072DB">
        <w:trPr>
          <w:trHeight w:val="255"/>
        </w:trPr>
        <w:tc>
          <w:tcPr>
            <w:tcW w:w="3276"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Stock option reserve</w:t>
            </w:r>
          </w:p>
        </w:tc>
        <w:tc>
          <w:tcPr>
            <w:tcW w:w="56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4,175</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3,336</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839</w:t>
            </w:r>
          </w:p>
        </w:tc>
      </w:tr>
      <w:tr w:rsidR="009072DB" w:rsidRPr="009C238A" w:rsidTr="009072DB">
        <w:trPr>
          <w:trHeight w:val="255"/>
        </w:trPr>
        <w:tc>
          <w:tcPr>
            <w:tcW w:w="3276"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OCI Reserve</w:t>
            </w:r>
          </w:p>
        </w:tc>
        <w:tc>
          <w:tcPr>
            <w:tcW w:w="56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(3,083)</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(3,079)</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(4)</w:t>
            </w:r>
          </w:p>
        </w:tc>
      </w:tr>
      <w:tr w:rsidR="009072DB" w:rsidRPr="009C238A" w:rsidTr="009072DB">
        <w:trPr>
          <w:trHeight w:val="255"/>
        </w:trPr>
        <w:tc>
          <w:tcPr>
            <w:tcW w:w="3276"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Retained earnings</w:t>
            </w:r>
          </w:p>
        </w:tc>
        <w:tc>
          <w:tcPr>
            <w:tcW w:w="56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253,418</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192,656</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60,762</w:t>
            </w:r>
          </w:p>
        </w:tc>
      </w:tr>
      <w:tr w:rsidR="009072DB" w:rsidRPr="009C238A" w:rsidTr="009072DB">
        <w:trPr>
          <w:trHeight w:val="255"/>
        </w:trPr>
        <w:tc>
          <w:tcPr>
            <w:tcW w:w="3276"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IFRS transition reserve</w:t>
            </w:r>
          </w:p>
        </w:tc>
        <w:tc>
          <w:tcPr>
            <w:tcW w:w="56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(2,973)</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(2,973)</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w:t>
            </w:r>
          </w:p>
        </w:tc>
      </w:tr>
      <w:tr w:rsidR="009072DB" w:rsidRPr="009C238A" w:rsidTr="009072DB">
        <w:trPr>
          <w:trHeight w:val="255"/>
        </w:trPr>
        <w:tc>
          <w:tcPr>
            <w:tcW w:w="3276" w:type="pct"/>
            <w:tcBorders>
              <w:top w:val="nil"/>
              <w:left w:val="nil"/>
              <w:bottom w:val="nil"/>
              <w:right w:val="nil"/>
            </w:tcBorders>
            <w:shd w:val="clear" w:color="000000" w:fill="FFFFFF"/>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Consolidation reserve</w:t>
            </w:r>
          </w:p>
        </w:tc>
        <w:tc>
          <w:tcPr>
            <w:tcW w:w="561"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904</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904</w:t>
            </w:r>
          </w:p>
        </w:tc>
        <w:tc>
          <w:tcPr>
            <w:tcW w:w="582" w:type="pct"/>
            <w:tcBorders>
              <w:top w:val="nil"/>
              <w:left w:val="nil"/>
              <w:bottom w:val="nil"/>
              <w:right w:val="nil"/>
            </w:tcBorders>
            <w:shd w:val="clear" w:color="000000" w:fill="FFFFFF"/>
            <w:noWrap/>
            <w:vAlign w:val="center"/>
            <w:hideMark/>
          </w:tcPr>
          <w:p w:rsidR="009072DB" w:rsidRPr="009C238A" w:rsidRDefault="009072DB" w:rsidP="009072DB">
            <w:pPr>
              <w:jc w:val="right"/>
              <w:rPr>
                <w:sz w:val="20"/>
                <w:szCs w:val="20"/>
                <w:lang w:val="en-US"/>
              </w:rPr>
            </w:pPr>
            <w:r w:rsidRPr="009C238A">
              <w:rPr>
                <w:sz w:val="20"/>
                <w:szCs w:val="20"/>
                <w:lang w:val="en-US"/>
              </w:rPr>
              <w:t>-</w:t>
            </w:r>
          </w:p>
        </w:tc>
      </w:tr>
      <w:tr w:rsidR="009072DB" w:rsidRPr="009C238A" w:rsidTr="009072DB">
        <w:trPr>
          <w:trHeight w:val="255"/>
        </w:trPr>
        <w:tc>
          <w:tcPr>
            <w:tcW w:w="3276"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other reserves and retained earnings</w:t>
            </w:r>
          </w:p>
        </w:tc>
        <w:tc>
          <w:tcPr>
            <w:tcW w:w="561" w:type="pct"/>
            <w:tcBorders>
              <w:top w:val="single" w:sz="4" w:space="0" w:color="auto"/>
              <w:left w:val="nil"/>
              <w:bottom w:val="single" w:sz="4" w:space="0" w:color="auto"/>
              <w:right w:val="nil"/>
            </w:tcBorders>
            <w:shd w:val="clear" w:color="000000" w:fill="FFFFFF"/>
            <w:vAlign w:val="center"/>
            <w:hideMark/>
          </w:tcPr>
          <w:p w:rsidR="009072DB" w:rsidRPr="009C238A" w:rsidRDefault="00297CF4" w:rsidP="009072DB">
            <w:pPr>
              <w:jc w:val="right"/>
              <w:rPr>
                <w:b/>
                <w:bCs/>
                <w:sz w:val="20"/>
                <w:szCs w:val="20"/>
                <w:lang w:val="en-US"/>
              </w:rPr>
            </w:pPr>
            <w:r w:rsidRPr="009C238A">
              <w:rPr>
                <w:b/>
                <w:bCs/>
                <w:sz w:val="20"/>
                <w:szCs w:val="20"/>
                <w:lang w:val="en-US"/>
              </w:rPr>
              <w:t>295,324</w:t>
            </w:r>
          </w:p>
        </w:tc>
        <w:tc>
          <w:tcPr>
            <w:tcW w:w="582"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239,202</w:t>
            </w:r>
          </w:p>
        </w:tc>
        <w:tc>
          <w:tcPr>
            <w:tcW w:w="582" w:type="pct"/>
            <w:tcBorders>
              <w:top w:val="single" w:sz="4" w:space="0" w:color="auto"/>
              <w:left w:val="nil"/>
              <w:bottom w:val="single" w:sz="4" w:space="0" w:color="auto"/>
              <w:right w:val="nil"/>
            </w:tcBorders>
            <w:shd w:val="clear" w:color="000000" w:fill="FFFFFF"/>
            <w:vAlign w:val="center"/>
            <w:hideMark/>
          </w:tcPr>
          <w:p w:rsidR="009072DB" w:rsidRPr="009C238A" w:rsidRDefault="00297CF4" w:rsidP="009072DB">
            <w:pPr>
              <w:jc w:val="right"/>
              <w:rPr>
                <w:b/>
                <w:bCs/>
                <w:sz w:val="20"/>
                <w:szCs w:val="20"/>
                <w:lang w:val="en-US"/>
              </w:rPr>
            </w:pPr>
            <w:r w:rsidRPr="009C238A">
              <w:rPr>
                <w:b/>
                <w:bCs/>
                <w:sz w:val="20"/>
                <w:szCs w:val="20"/>
                <w:lang w:val="en-US"/>
              </w:rPr>
              <w:t>56,122</w:t>
            </w:r>
          </w:p>
        </w:tc>
      </w:tr>
      <w:tr w:rsidR="009072DB" w:rsidRPr="009C238A" w:rsidTr="009072DB">
        <w:trPr>
          <w:trHeight w:val="270"/>
        </w:trPr>
        <w:tc>
          <w:tcPr>
            <w:tcW w:w="3276" w:type="pct"/>
            <w:tcBorders>
              <w:top w:val="nil"/>
              <w:left w:val="nil"/>
              <w:bottom w:val="single" w:sz="4" w:space="0" w:color="auto"/>
              <w:right w:val="nil"/>
            </w:tcBorders>
            <w:shd w:val="clear" w:color="000000" w:fill="FFFFFF"/>
            <w:noWrap/>
            <w:vAlign w:val="center"/>
            <w:hideMark/>
          </w:tcPr>
          <w:p w:rsidR="009072DB" w:rsidRPr="009C238A" w:rsidRDefault="009072DB" w:rsidP="009072DB">
            <w:pPr>
              <w:rPr>
                <w:b/>
                <w:bCs/>
                <w:i/>
                <w:iCs/>
                <w:sz w:val="20"/>
                <w:szCs w:val="20"/>
                <w:lang w:val="en-US"/>
              </w:rPr>
            </w:pPr>
            <w:r w:rsidRPr="009C238A">
              <w:rPr>
                <w:b/>
                <w:bCs/>
                <w:i/>
                <w:iCs/>
                <w:color w:val="000000" w:themeColor="text1"/>
                <w:sz w:val="20"/>
                <w:szCs w:val="20"/>
                <w:lang w:val="en-US"/>
              </w:rPr>
              <w:t>Including minority interest</w:t>
            </w:r>
          </w:p>
        </w:tc>
        <w:tc>
          <w:tcPr>
            <w:tcW w:w="561"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i/>
                <w:iCs/>
                <w:sz w:val="20"/>
                <w:szCs w:val="20"/>
                <w:lang w:val="en-US"/>
              </w:rPr>
            </w:pPr>
            <w:r w:rsidRPr="009C238A">
              <w:rPr>
                <w:b/>
                <w:bCs/>
                <w:i/>
                <w:iCs/>
                <w:sz w:val="20"/>
                <w:szCs w:val="20"/>
                <w:lang w:val="en-US"/>
              </w:rPr>
              <w:t>486</w:t>
            </w:r>
          </w:p>
        </w:tc>
        <w:tc>
          <w:tcPr>
            <w:tcW w:w="582"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i/>
                <w:iCs/>
                <w:sz w:val="20"/>
                <w:szCs w:val="20"/>
                <w:lang w:val="en-US"/>
              </w:rPr>
            </w:pPr>
            <w:r w:rsidRPr="009C238A">
              <w:rPr>
                <w:b/>
                <w:bCs/>
                <w:i/>
                <w:iCs/>
                <w:sz w:val="20"/>
                <w:szCs w:val="20"/>
                <w:lang w:val="en-US"/>
              </w:rPr>
              <w:t>206</w:t>
            </w:r>
          </w:p>
        </w:tc>
        <w:tc>
          <w:tcPr>
            <w:tcW w:w="582" w:type="pct"/>
            <w:tcBorders>
              <w:top w:val="nil"/>
              <w:left w:val="nil"/>
              <w:bottom w:val="single" w:sz="4" w:space="0" w:color="auto"/>
              <w:right w:val="nil"/>
            </w:tcBorders>
            <w:shd w:val="clear" w:color="000000" w:fill="FFFFFF"/>
            <w:vAlign w:val="center"/>
            <w:hideMark/>
          </w:tcPr>
          <w:p w:rsidR="009072DB" w:rsidRPr="009C238A" w:rsidRDefault="009072DB" w:rsidP="009072DB">
            <w:pPr>
              <w:jc w:val="right"/>
              <w:rPr>
                <w:b/>
                <w:bCs/>
                <w:i/>
                <w:iCs/>
                <w:sz w:val="20"/>
                <w:szCs w:val="20"/>
                <w:lang w:val="en-US"/>
              </w:rPr>
            </w:pPr>
            <w:r w:rsidRPr="009C238A">
              <w:rPr>
                <w:b/>
                <w:bCs/>
                <w:i/>
                <w:iCs/>
                <w:sz w:val="20"/>
                <w:szCs w:val="20"/>
                <w:lang w:val="en-US"/>
              </w:rPr>
              <w:t>280</w:t>
            </w:r>
          </w:p>
        </w:tc>
      </w:tr>
    </w:tbl>
    <w:p w:rsidR="009072DB" w:rsidRPr="009C238A" w:rsidRDefault="009072DB" w:rsidP="009072DB">
      <w:pPr>
        <w:pStyle w:val="Rientronormale"/>
        <w:ind w:left="0"/>
        <w:jc w:val="both"/>
        <w:rPr>
          <w:highlight w:val="yellow"/>
          <w:lang w:val="en-US"/>
        </w:rPr>
      </w:pPr>
    </w:p>
    <w:p w:rsidR="009072DB" w:rsidRPr="009C238A" w:rsidRDefault="009072DB" w:rsidP="009072DB">
      <w:pPr>
        <w:spacing w:before="240" w:line="240" w:lineRule="atLeast"/>
        <w:ind w:right="-54"/>
        <w:jc w:val="both"/>
        <w:rPr>
          <w:i/>
          <w:lang w:val="en-US"/>
        </w:rPr>
      </w:pPr>
    </w:p>
    <w:p w:rsidR="009072DB" w:rsidRPr="009C238A" w:rsidRDefault="009072DB" w:rsidP="009072DB">
      <w:pPr>
        <w:spacing w:before="240" w:line="240" w:lineRule="atLeast"/>
        <w:ind w:right="-54"/>
        <w:jc w:val="both"/>
        <w:rPr>
          <w:i/>
          <w:lang w:val="en-US"/>
        </w:rPr>
      </w:pPr>
    </w:p>
    <w:p w:rsidR="009072DB" w:rsidRPr="009C238A" w:rsidRDefault="009072DB" w:rsidP="009072DB">
      <w:pPr>
        <w:spacing w:before="240" w:line="240" w:lineRule="atLeast"/>
        <w:ind w:right="-54"/>
        <w:jc w:val="both"/>
        <w:rPr>
          <w:i/>
          <w:iCs/>
          <w:color w:val="000000" w:themeColor="text1"/>
          <w:lang w:val="en-US"/>
        </w:rPr>
      </w:pPr>
      <w:r w:rsidRPr="009C238A">
        <w:rPr>
          <w:i/>
          <w:iCs/>
          <w:color w:val="000000" w:themeColor="text1"/>
          <w:lang w:val="en-US"/>
        </w:rPr>
        <w:t xml:space="preserve">Currency translation reserve </w:t>
      </w:r>
    </w:p>
    <w:p w:rsidR="00C844ED" w:rsidRDefault="00C844ED" w:rsidP="009072DB">
      <w:pPr>
        <w:widowControl w:val="0"/>
        <w:autoSpaceDE w:val="0"/>
        <w:autoSpaceDN w:val="0"/>
        <w:adjustRightInd w:val="0"/>
        <w:jc w:val="both"/>
        <w:rPr>
          <w:color w:val="000000" w:themeColor="text1"/>
          <w:lang w:val="en-US"/>
        </w:rPr>
      </w:pPr>
    </w:p>
    <w:p w:rsidR="009072DB" w:rsidRPr="009C238A" w:rsidRDefault="00BE4A79" w:rsidP="009072DB">
      <w:pPr>
        <w:widowControl w:val="0"/>
        <w:autoSpaceDE w:val="0"/>
        <w:autoSpaceDN w:val="0"/>
        <w:adjustRightInd w:val="0"/>
        <w:jc w:val="both"/>
        <w:rPr>
          <w:color w:val="000000" w:themeColor="text1"/>
          <w:lang w:val="en-US"/>
        </w:rPr>
      </w:pPr>
      <w:r w:rsidRPr="009C238A">
        <w:rPr>
          <w:color w:val="000000" w:themeColor="text1"/>
          <w:lang w:val="en-US"/>
        </w:rPr>
        <w:t>The decrease of 5,475</w:t>
      </w:r>
      <w:r w:rsidR="009072DB" w:rsidRPr="009C238A">
        <w:rPr>
          <w:color w:val="000000" w:themeColor="text1"/>
          <w:lang w:val="en-US"/>
        </w:rPr>
        <w:t xml:space="preserve"> thousand euros shown in the curr</w:t>
      </w:r>
      <w:r w:rsidR="00BB7C63">
        <w:rPr>
          <w:color w:val="000000" w:themeColor="text1"/>
          <w:lang w:val="en-US"/>
        </w:rPr>
        <w:t>ency translation reserve at</w:t>
      </w:r>
      <w:r w:rsidR="009072DB" w:rsidRPr="009C238A">
        <w:rPr>
          <w:color w:val="000000" w:themeColor="text1"/>
          <w:lang w:val="en-US"/>
        </w:rPr>
        <w:t xml:space="preserve"> September</w:t>
      </w:r>
      <w:r w:rsidR="00BB7C63">
        <w:rPr>
          <w:color w:val="000000" w:themeColor="text1"/>
          <w:lang w:val="en-US"/>
        </w:rPr>
        <w:t xml:space="preserve"> 30</w:t>
      </w:r>
      <w:r w:rsidR="009072DB" w:rsidRPr="009C238A">
        <w:rPr>
          <w:color w:val="000000" w:themeColor="text1"/>
          <w:lang w:val="en-US"/>
        </w:rPr>
        <w:t>, 2013 is due to the fluctuation of the exchange rate of the US dollar, Brazilian real and the South African rand. It also reflects the foreign exchange differences resulting from the translation at year-end exchange rates of the shareholders’ equities of consolidated companies with financial statements denominated in foreign currencies, for</w:t>
      </w:r>
      <w:r w:rsidR="00AD072C" w:rsidRPr="009C238A">
        <w:rPr>
          <w:color w:val="000000" w:themeColor="text1"/>
          <w:lang w:val="en-US"/>
        </w:rPr>
        <w:t xml:space="preserve"> a negative value equal to 5,783</w:t>
      </w:r>
      <w:r w:rsidR="009072DB" w:rsidRPr="009C238A">
        <w:rPr>
          <w:color w:val="000000" w:themeColor="text1"/>
          <w:lang w:val="en-US"/>
        </w:rPr>
        <w:t xml:space="preserve"> thousand e</w:t>
      </w:r>
      <w:r w:rsidR="00AD072C" w:rsidRPr="009C238A">
        <w:rPr>
          <w:color w:val="000000" w:themeColor="text1"/>
          <w:lang w:val="en-US"/>
        </w:rPr>
        <w:t>uros. This amount includes 1,216</w:t>
      </w:r>
      <w:r w:rsidR="009072DB" w:rsidRPr="009C238A">
        <w:rPr>
          <w:color w:val="000000" w:themeColor="text1"/>
          <w:lang w:val="en-US"/>
        </w:rPr>
        <w:t xml:space="preserve"> thousand euros for adjustments to the goodwill allocated to CGUs that operate with currencies different from the euro.</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This reserve also includes a gain of 308 thous</w:t>
      </w:r>
      <w:r w:rsidR="0054700E" w:rsidRPr="009C238A">
        <w:rPr>
          <w:color w:val="000000" w:themeColor="text1"/>
          <w:lang w:val="en-US"/>
        </w:rPr>
        <w:t>and euros, net of tax effect equal to 117 thousand euros</w:t>
      </w:r>
      <w:r w:rsidRPr="009C238A">
        <w:rPr>
          <w:color w:val="000000" w:themeColor="text1"/>
          <w:lang w:val="en-US"/>
        </w:rPr>
        <w:t xml:space="preserve">, for translation differences on indebtedness denominated in foreign currencies held by the Group’s Parent Company to hedge its investment in the </w:t>
      </w:r>
      <w:r w:rsidR="0054700E" w:rsidRPr="009C238A">
        <w:rPr>
          <w:color w:val="000000" w:themeColor="text1"/>
          <w:lang w:val="en-US"/>
        </w:rPr>
        <w:t>shareholders’ equity of the Dias</w:t>
      </w:r>
      <w:r w:rsidRPr="009C238A">
        <w:rPr>
          <w:color w:val="000000" w:themeColor="text1"/>
          <w:lang w:val="en-US"/>
        </w:rPr>
        <w:t>orin USA subsidiary.</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widowControl w:val="0"/>
        <w:autoSpaceDE w:val="0"/>
        <w:autoSpaceDN w:val="0"/>
        <w:adjustRightInd w:val="0"/>
        <w:jc w:val="both"/>
        <w:rPr>
          <w:i/>
          <w:iCs/>
          <w:color w:val="000000" w:themeColor="text1"/>
          <w:lang w:val="en-US"/>
        </w:rPr>
      </w:pPr>
      <w:r w:rsidRPr="009C238A">
        <w:rPr>
          <w:i/>
          <w:iCs/>
          <w:color w:val="000000" w:themeColor="text1"/>
          <w:lang w:val="en-US"/>
        </w:rPr>
        <w:t xml:space="preserve">Reserve for treasury shares </w:t>
      </w:r>
    </w:p>
    <w:p w:rsidR="009072DB" w:rsidRPr="009C238A" w:rsidRDefault="009072DB" w:rsidP="009072DB">
      <w:pPr>
        <w:widowControl w:val="0"/>
        <w:autoSpaceDE w:val="0"/>
        <w:autoSpaceDN w:val="0"/>
        <w:adjustRightInd w:val="0"/>
        <w:jc w:val="both"/>
        <w:rPr>
          <w:i/>
          <w:iCs/>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With regard to treasury shares, the Company complied with all statutory requirements, purchasing treasury shares for amount covered by the distributable earnings and available reserves shown in its latest duly approved financial statements. Purchases were authorized by the Shareholders’ Meeting and under no circumstance did the par value of the purchased shares exceed one-fifth of the share capital. </w:t>
      </w: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On January 17, 2011, the Company began to implement a program to buy treasury shares reserved for implementation of its new stock option plan, in accordance with the provisions and timing authorized by the Shareholders’ Meeting on April 27, 2010. The program ended on February 15, 2011, with the purchase of 750,000 common shares, equal to 1.35% of the share capital, at an average price of 33.48 euros per share. A second program to buy treasury shares got under way on October 17, 2011, in accordance with the provisions and timing authorized by the Shareholders’ Meeting of October 4, 2011. </w:t>
      </w:r>
    </w:p>
    <w:p w:rsidR="009072DB" w:rsidRPr="009C238A" w:rsidRDefault="0054700E" w:rsidP="009072DB">
      <w:pPr>
        <w:widowControl w:val="0"/>
        <w:autoSpaceDE w:val="0"/>
        <w:autoSpaceDN w:val="0"/>
        <w:adjustRightInd w:val="0"/>
        <w:jc w:val="both"/>
        <w:rPr>
          <w:color w:val="000000" w:themeColor="text1"/>
          <w:lang w:val="en-US"/>
        </w:rPr>
      </w:pPr>
      <w:r w:rsidRPr="009C238A">
        <w:rPr>
          <w:color w:val="000000" w:themeColor="text1"/>
          <w:lang w:val="en-US"/>
        </w:rPr>
        <w:t>Following these purchases, Dias</w:t>
      </w:r>
      <w:r w:rsidR="009072DB" w:rsidRPr="009C238A">
        <w:rPr>
          <w:color w:val="000000" w:themeColor="text1"/>
          <w:lang w:val="en-US"/>
        </w:rPr>
        <w:t xml:space="preserve">orin S.p.A. holds a total of 1,550,000 treasury shares, equal to 2.77% of the share capital. The average purchase price of the 800,000 treasury shares purchased in the last quarter of the year was 24.71 euros per share. </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 xml:space="preserve">At September 30, 2013 the reserve for treasury shares amounted to 44,882 thousand euros. This reserve was established pursuant to law (Article 2357 </w:t>
      </w:r>
      <w:r w:rsidRPr="009C238A">
        <w:rPr>
          <w:i/>
          <w:iCs/>
          <w:color w:val="000000" w:themeColor="text1"/>
          <w:lang w:val="en-US"/>
        </w:rPr>
        <w:t xml:space="preserve">ter </w:t>
      </w:r>
      <w:r w:rsidRPr="009C238A">
        <w:rPr>
          <w:color w:val="000000" w:themeColor="text1"/>
          <w:lang w:val="en-US"/>
        </w:rPr>
        <w:t>of the Italian Civil Code) due to purchases of treasury shares made in 2011.</w:t>
      </w:r>
    </w:p>
    <w:p w:rsidR="009072DB" w:rsidRPr="009C238A" w:rsidRDefault="009072DB" w:rsidP="009072DB">
      <w:pPr>
        <w:pStyle w:val="Rientronormale"/>
        <w:ind w:left="0"/>
        <w:jc w:val="both"/>
        <w:rPr>
          <w:color w:val="000000" w:themeColor="text1"/>
          <w:highlight w:val="yellow"/>
          <w:lang w:val="en-US"/>
        </w:rPr>
      </w:pPr>
    </w:p>
    <w:p w:rsidR="009072DB" w:rsidRPr="009C238A" w:rsidRDefault="009072DB" w:rsidP="009072DB">
      <w:pPr>
        <w:widowControl w:val="0"/>
        <w:autoSpaceDE w:val="0"/>
        <w:autoSpaceDN w:val="0"/>
        <w:adjustRightInd w:val="0"/>
        <w:jc w:val="both"/>
        <w:rPr>
          <w:i/>
          <w:iCs/>
          <w:color w:val="000000" w:themeColor="text1"/>
          <w:lang w:val="en-US"/>
        </w:rPr>
      </w:pPr>
      <w:r w:rsidRPr="009C238A">
        <w:rPr>
          <w:i/>
          <w:iCs/>
          <w:color w:val="000000" w:themeColor="text1"/>
          <w:lang w:val="en-US"/>
        </w:rPr>
        <w:t xml:space="preserve">Stock option reserve </w:t>
      </w:r>
    </w:p>
    <w:p w:rsidR="009072DB" w:rsidRPr="009C238A" w:rsidRDefault="009072DB" w:rsidP="009072DB">
      <w:pPr>
        <w:widowControl w:val="0"/>
        <w:autoSpaceDE w:val="0"/>
        <w:autoSpaceDN w:val="0"/>
        <w:adjustRightInd w:val="0"/>
        <w:jc w:val="both"/>
        <w:rPr>
          <w:i/>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The balance in the stock option reserve refers to the 2007-2012 Stock Option Plan and the 2010 Stock Option Plan. In the first nine months of 2013, this reserve increased due to the recognition of stock option costs amounting to 1,107 thousand euros. The exercise of some tranches of the 2007-2012 Plan in the first nine months of 2013 caused a reduction of 268 thousand euros in the stock option reserve.</w:t>
      </w:r>
    </w:p>
    <w:p w:rsidR="009072DB" w:rsidRPr="009C238A" w:rsidRDefault="009072DB" w:rsidP="009072DB">
      <w:pPr>
        <w:widowControl w:val="0"/>
        <w:autoSpaceDE w:val="0"/>
        <w:autoSpaceDN w:val="0"/>
        <w:adjustRightInd w:val="0"/>
        <w:jc w:val="both"/>
        <w:rPr>
          <w:color w:val="000000" w:themeColor="text1"/>
          <w:lang w:val="en-US"/>
        </w:rPr>
      </w:pPr>
    </w:p>
    <w:p w:rsidR="009072DB" w:rsidRPr="009C238A" w:rsidRDefault="009072DB" w:rsidP="009072DB">
      <w:pPr>
        <w:pStyle w:val="Rientronormale"/>
        <w:ind w:left="0"/>
        <w:jc w:val="both"/>
        <w:rPr>
          <w:i/>
          <w:color w:val="000000" w:themeColor="text1"/>
          <w:lang w:val="en-US"/>
        </w:rPr>
      </w:pPr>
      <w:r w:rsidRPr="009C238A">
        <w:rPr>
          <w:i/>
          <w:color w:val="000000" w:themeColor="text1"/>
          <w:lang w:val="en-US"/>
        </w:rPr>
        <w:t>OCI reserve</w:t>
      </w:r>
    </w:p>
    <w:p w:rsidR="009072DB" w:rsidRPr="009C238A" w:rsidRDefault="009072DB" w:rsidP="009072DB">
      <w:pPr>
        <w:pStyle w:val="Rientronormale"/>
        <w:ind w:left="0"/>
        <w:jc w:val="both"/>
        <w:rPr>
          <w:i/>
          <w:color w:val="000000" w:themeColor="text1"/>
          <w:lang w:val="en-US"/>
        </w:rPr>
      </w:pPr>
    </w:p>
    <w:p w:rsidR="009072DB" w:rsidRDefault="009072DB" w:rsidP="009072DB">
      <w:pPr>
        <w:widowControl w:val="0"/>
        <w:autoSpaceDE w:val="0"/>
        <w:autoSpaceDN w:val="0"/>
        <w:adjustRightInd w:val="0"/>
        <w:jc w:val="both"/>
        <w:rPr>
          <w:color w:val="000000" w:themeColor="text1"/>
          <w:sz w:val="23"/>
          <w:szCs w:val="23"/>
          <w:lang w:val="en-US"/>
        </w:rPr>
      </w:pPr>
      <w:r w:rsidRPr="009C238A">
        <w:rPr>
          <w:color w:val="000000" w:themeColor="text1"/>
          <w:lang w:val="en-US"/>
        </w:rPr>
        <w:t>OCI reserve is negative for 3,083 thousand euros and includes</w:t>
      </w:r>
      <w:r w:rsidRPr="009C238A">
        <w:rPr>
          <w:bCs/>
          <w:color w:val="000000" w:themeColor="text1"/>
          <w:lang w:val="en-US"/>
        </w:rPr>
        <w:t xml:space="preserve"> actuarial gains or losses resulting from the computation of the Group’s </w:t>
      </w:r>
      <w:r w:rsidRPr="009C238A">
        <w:rPr>
          <w:color w:val="000000" w:themeColor="text1"/>
          <w:spacing w:val="-2"/>
          <w:lang w:val="en-US"/>
        </w:rPr>
        <w:t xml:space="preserve">defined-benefit pension plans, </w:t>
      </w:r>
      <w:r w:rsidRPr="009C238A">
        <w:rPr>
          <w:color w:val="000000" w:themeColor="text1"/>
          <w:sz w:val="23"/>
          <w:szCs w:val="23"/>
          <w:lang w:val="en-US"/>
        </w:rPr>
        <w:t>net of the applicable tax effect equal to 1,131 thousand euros</w:t>
      </w:r>
    </w:p>
    <w:p w:rsidR="00C844ED" w:rsidRPr="009C238A" w:rsidRDefault="00C844ED" w:rsidP="009072DB">
      <w:pPr>
        <w:widowControl w:val="0"/>
        <w:autoSpaceDE w:val="0"/>
        <w:autoSpaceDN w:val="0"/>
        <w:adjustRightInd w:val="0"/>
        <w:jc w:val="both"/>
        <w:rPr>
          <w:color w:val="000000" w:themeColor="text1"/>
          <w:lang w:val="en-US"/>
        </w:rPr>
      </w:pPr>
    </w:p>
    <w:p w:rsidR="009072DB" w:rsidRPr="009C238A" w:rsidRDefault="009072DB" w:rsidP="009072DB">
      <w:pPr>
        <w:widowControl w:val="0"/>
        <w:autoSpaceDE w:val="0"/>
        <w:autoSpaceDN w:val="0"/>
        <w:adjustRightInd w:val="0"/>
        <w:jc w:val="both"/>
        <w:rPr>
          <w:i/>
          <w:iCs/>
          <w:color w:val="000000" w:themeColor="text1"/>
          <w:lang w:val="en-US"/>
        </w:rPr>
      </w:pPr>
      <w:r w:rsidRPr="009C238A">
        <w:rPr>
          <w:i/>
          <w:iCs/>
          <w:color w:val="000000" w:themeColor="text1"/>
          <w:lang w:val="en-US"/>
        </w:rPr>
        <w:t>Retained earnings</w:t>
      </w:r>
    </w:p>
    <w:p w:rsidR="009072DB" w:rsidRPr="009C238A" w:rsidRDefault="009072DB" w:rsidP="009072DB">
      <w:pPr>
        <w:widowControl w:val="0"/>
        <w:autoSpaceDE w:val="0"/>
        <w:autoSpaceDN w:val="0"/>
        <w:adjustRightInd w:val="0"/>
        <w:jc w:val="both"/>
        <w:rPr>
          <w:i/>
          <w:iCs/>
          <w:color w:val="000000" w:themeColor="text1"/>
          <w:lang w:val="en-US"/>
        </w:rPr>
      </w:pPr>
      <w:r w:rsidRPr="009C238A">
        <w:rPr>
          <w:i/>
          <w:iCs/>
          <w:color w:val="000000" w:themeColor="text1"/>
          <w:lang w:val="en-US"/>
        </w:rPr>
        <w:t xml:space="preserve"> </w:t>
      </w:r>
    </w:p>
    <w:p w:rsidR="009072DB" w:rsidRPr="009C238A" w:rsidRDefault="009072DB" w:rsidP="009072DB">
      <w:pPr>
        <w:pStyle w:val="Rientronormale"/>
        <w:ind w:left="0"/>
        <w:jc w:val="both"/>
        <w:rPr>
          <w:color w:val="000000" w:themeColor="text1"/>
          <w:lang w:val="en-US"/>
        </w:rPr>
      </w:pPr>
      <w:r w:rsidRPr="009C238A">
        <w:rPr>
          <w:color w:val="000000" w:themeColor="text1"/>
          <w:lang w:val="en-US"/>
        </w:rPr>
        <w:t>The increase of 60,762 thousand euros in retained earnings, compared with December 31, 2012, is due mainly to the:</w:t>
      </w:r>
    </w:p>
    <w:p w:rsidR="007D0CB2" w:rsidRPr="009C238A" w:rsidRDefault="007D0CB2" w:rsidP="009072DB">
      <w:pPr>
        <w:pStyle w:val="Rientronormale"/>
        <w:ind w:left="0"/>
        <w:jc w:val="both"/>
        <w:rPr>
          <w:color w:val="000000" w:themeColor="text1"/>
          <w:lang w:val="en-US"/>
        </w:rPr>
      </w:pPr>
    </w:p>
    <w:p w:rsidR="009072DB" w:rsidRPr="009C238A" w:rsidRDefault="009072DB" w:rsidP="009072DB">
      <w:pPr>
        <w:pStyle w:val="Rientronormale"/>
        <w:numPr>
          <w:ilvl w:val="0"/>
          <w:numId w:val="15"/>
        </w:numPr>
        <w:jc w:val="both"/>
        <w:rPr>
          <w:color w:val="000000" w:themeColor="text1"/>
          <w:lang w:val="en-US"/>
        </w:rPr>
      </w:pPr>
      <w:r w:rsidRPr="009C238A">
        <w:rPr>
          <w:color w:val="000000" w:themeColor="text1"/>
          <w:lang w:val="en-US"/>
        </w:rPr>
        <w:t>appropriation of the consolidated net profit earned in 2012 (87,671 thousand euros);</w:t>
      </w:r>
    </w:p>
    <w:p w:rsidR="009072DB" w:rsidRPr="009C238A" w:rsidRDefault="009072DB" w:rsidP="009072DB">
      <w:pPr>
        <w:pStyle w:val="Rientronormale"/>
        <w:ind w:left="780"/>
        <w:jc w:val="both"/>
        <w:rPr>
          <w:color w:val="000000" w:themeColor="text1"/>
          <w:lang w:val="en-US"/>
        </w:rPr>
      </w:pPr>
    </w:p>
    <w:p w:rsidR="009072DB" w:rsidRPr="009C238A" w:rsidRDefault="009072DB" w:rsidP="009072DB">
      <w:pPr>
        <w:pStyle w:val="Rientronormale"/>
        <w:numPr>
          <w:ilvl w:val="0"/>
          <w:numId w:val="15"/>
        </w:numPr>
        <w:jc w:val="both"/>
        <w:rPr>
          <w:color w:val="000000" w:themeColor="text1"/>
          <w:lang w:val="en-US"/>
        </w:rPr>
      </w:pPr>
      <w:r w:rsidRPr="009C238A">
        <w:rPr>
          <w:color w:val="000000" w:themeColor="text1"/>
          <w:lang w:val="en-US"/>
        </w:rPr>
        <w:t>dividend distribution to the shareholders (27,177 thousand euros) approved on April 22, 2013 during the ordinary shareholders meeting (EUR 0.50 per share);</w:t>
      </w:r>
    </w:p>
    <w:p w:rsidR="009072DB" w:rsidRPr="009C238A" w:rsidRDefault="009072DB" w:rsidP="009072DB">
      <w:pPr>
        <w:pStyle w:val="Rientronormale"/>
        <w:ind w:left="780"/>
        <w:jc w:val="both"/>
        <w:rPr>
          <w:color w:val="000000" w:themeColor="text1"/>
          <w:lang w:val="en-US"/>
        </w:rPr>
      </w:pPr>
    </w:p>
    <w:p w:rsidR="009072DB" w:rsidRPr="009C238A" w:rsidRDefault="009072DB" w:rsidP="009072DB">
      <w:pPr>
        <w:pStyle w:val="Rientronormale"/>
        <w:numPr>
          <w:ilvl w:val="0"/>
          <w:numId w:val="15"/>
        </w:numPr>
        <w:jc w:val="both"/>
        <w:rPr>
          <w:color w:val="000000" w:themeColor="text1"/>
          <w:lang w:val="en-US"/>
        </w:rPr>
      </w:pPr>
      <w:r w:rsidRPr="009C238A">
        <w:rPr>
          <w:color w:val="000000" w:themeColor="text1"/>
          <w:lang w:val="en-US"/>
        </w:rPr>
        <w:t>The exercise of some tranches of the 2007-2012 Plan resulted in a positive change of 268 thousand euros in the stock option reserve.</w:t>
      </w:r>
    </w:p>
    <w:p w:rsidR="009072DB" w:rsidRPr="009C238A" w:rsidRDefault="009072DB" w:rsidP="009072DB">
      <w:pPr>
        <w:widowControl w:val="0"/>
        <w:autoSpaceDE w:val="0"/>
        <w:autoSpaceDN w:val="0"/>
        <w:adjustRightInd w:val="0"/>
        <w:jc w:val="both"/>
        <w:rPr>
          <w:i/>
          <w:iCs/>
          <w:color w:val="000000" w:themeColor="text1"/>
          <w:sz w:val="23"/>
          <w:szCs w:val="23"/>
          <w:lang w:val="en-US"/>
        </w:rPr>
      </w:pPr>
    </w:p>
    <w:p w:rsidR="009072DB" w:rsidRPr="009C238A" w:rsidRDefault="009072DB" w:rsidP="009072DB">
      <w:pPr>
        <w:widowControl w:val="0"/>
        <w:autoSpaceDE w:val="0"/>
        <w:autoSpaceDN w:val="0"/>
        <w:adjustRightInd w:val="0"/>
        <w:jc w:val="both"/>
        <w:rPr>
          <w:i/>
          <w:iCs/>
          <w:color w:val="000000" w:themeColor="text1"/>
          <w:sz w:val="23"/>
          <w:szCs w:val="23"/>
          <w:lang w:val="en-US"/>
        </w:rPr>
      </w:pPr>
      <w:r w:rsidRPr="009C238A">
        <w:rPr>
          <w:i/>
          <w:iCs/>
          <w:color w:val="000000" w:themeColor="text1"/>
          <w:sz w:val="23"/>
          <w:szCs w:val="23"/>
          <w:lang w:val="en-US"/>
        </w:rPr>
        <w:t xml:space="preserve">IFRS transition reserve </w:t>
      </w:r>
    </w:p>
    <w:p w:rsidR="009072DB" w:rsidRPr="009C238A" w:rsidRDefault="009072DB" w:rsidP="009072DB">
      <w:pPr>
        <w:widowControl w:val="0"/>
        <w:autoSpaceDE w:val="0"/>
        <w:autoSpaceDN w:val="0"/>
        <w:adjustRightInd w:val="0"/>
        <w:jc w:val="both"/>
        <w:rPr>
          <w:i/>
          <w:iCs/>
          <w:color w:val="000000" w:themeColor="text1"/>
          <w:sz w:val="23"/>
          <w:szCs w:val="23"/>
          <w:lang w:val="en-US"/>
        </w:rPr>
      </w:pPr>
    </w:p>
    <w:p w:rsidR="009072DB" w:rsidRPr="009C238A" w:rsidRDefault="009072DB" w:rsidP="009072DB">
      <w:pPr>
        <w:pStyle w:val="Intestazione"/>
        <w:tabs>
          <w:tab w:val="clear" w:pos="4819"/>
          <w:tab w:val="left" w:pos="-120"/>
          <w:tab w:val="center" w:pos="1843"/>
        </w:tabs>
        <w:jc w:val="both"/>
        <w:rPr>
          <w:color w:val="000000" w:themeColor="text1"/>
          <w:sz w:val="23"/>
          <w:szCs w:val="23"/>
          <w:lang w:val="en-US"/>
        </w:rPr>
      </w:pPr>
      <w:r w:rsidRPr="009C238A">
        <w:rPr>
          <w:color w:val="000000" w:themeColor="text1"/>
          <w:sz w:val="23"/>
          <w:szCs w:val="23"/>
          <w:lang w:val="en-US"/>
        </w:rPr>
        <w:t>The IFRS transition reserve was established on January 1, 2005, upon first-time adoption of the IFRSs as an offset to the adjustments recognized to make the financial statements prepared in accordance with Italian accounting principles consistent with IFRS requirements, net of the applicable tax effect (as required by and in accordance with IFRS 1). This reserve has not changed since it was first established.</w:t>
      </w:r>
    </w:p>
    <w:p w:rsidR="009072DB" w:rsidRPr="009C238A" w:rsidRDefault="009072DB" w:rsidP="009072DB">
      <w:pPr>
        <w:pStyle w:val="Rientronormale"/>
        <w:ind w:left="0"/>
        <w:jc w:val="both"/>
        <w:rPr>
          <w:color w:val="000000" w:themeColor="text1"/>
          <w:highlight w:val="yellow"/>
          <w:lang w:val="en-US"/>
        </w:rPr>
      </w:pPr>
    </w:p>
    <w:p w:rsidR="009072DB" w:rsidRPr="009C238A" w:rsidRDefault="009072DB" w:rsidP="009072DB">
      <w:pPr>
        <w:widowControl w:val="0"/>
        <w:autoSpaceDE w:val="0"/>
        <w:autoSpaceDN w:val="0"/>
        <w:adjustRightInd w:val="0"/>
        <w:jc w:val="both"/>
        <w:rPr>
          <w:i/>
          <w:iCs/>
          <w:color w:val="000000" w:themeColor="text1"/>
          <w:sz w:val="23"/>
          <w:szCs w:val="23"/>
          <w:lang w:val="en-US"/>
        </w:rPr>
      </w:pPr>
      <w:r w:rsidRPr="009C238A">
        <w:rPr>
          <w:i/>
          <w:iCs/>
          <w:color w:val="000000" w:themeColor="text1"/>
          <w:sz w:val="23"/>
          <w:szCs w:val="23"/>
          <w:lang w:val="en-US"/>
        </w:rPr>
        <w:t>Consolidation reserve</w:t>
      </w:r>
    </w:p>
    <w:p w:rsidR="009072DB" w:rsidRPr="009C238A" w:rsidRDefault="009072DB" w:rsidP="009072DB">
      <w:pPr>
        <w:widowControl w:val="0"/>
        <w:autoSpaceDE w:val="0"/>
        <w:autoSpaceDN w:val="0"/>
        <w:adjustRightInd w:val="0"/>
        <w:jc w:val="both"/>
        <w:rPr>
          <w:i/>
          <w:iCs/>
          <w:color w:val="000000" w:themeColor="text1"/>
          <w:sz w:val="23"/>
          <w:szCs w:val="23"/>
          <w:lang w:val="en-US"/>
        </w:rPr>
      </w:pPr>
    </w:p>
    <w:p w:rsidR="009072DB" w:rsidRPr="009C238A" w:rsidRDefault="009072DB" w:rsidP="009072DB">
      <w:pPr>
        <w:pStyle w:val="Intestazione"/>
        <w:tabs>
          <w:tab w:val="clear" w:pos="4819"/>
          <w:tab w:val="left" w:pos="-120"/>
          <w:tab w:val="center" w:pos="1843"/>
        </w:tabs>
        <w:jc w:val="both"/>
        <w:rPr>
          <w:b/>
          <w:color w:val="000000" w:themeColor="text1"/>
          <w:lang w:val="en-US"/>
        </w:rPr>
      </w:pPr>
      <w:r w:rsidRPr="009C238A">
        <w:rPr>
          <w:color w:val="000000" w:themeColor="text1"/>
          <w:sz w:val="23"/>
          <w:szCs w:val="23"/>
          <w:lang w:val="en-US"/>
        </w:rPr>
        <w:t>The consolidation reserve, amounting to 904 thousand euros, reflects the negative difference generated by the elimination of the carrying amounts of equity investments against the corresponding shareholders’ equities.</w:t>
      </w:r>
    </w:p>
    <w:p w:rsidR="009072DB" w:rsidRPr="009C238A" w:rsidRDefault="009072DB" w:rsidP="009072DB">
      <w:pPr>
        <w:pStyle w:val="Intestazione"/>
        <w:tabs>
          <w:tab w:val="clear" w:pos="4819"/>
          <w:tab w:val="left" w:pos="-120"/>
          <w:tab w:val="center" w:pos="1843"/>
        </w:tabs>
        <w:rPr>
          <w:b/>
          <w:lang w:val="en-US"/>
        </w:rPr>
      </w:pPr>
    </w:p>
    <w:p w:rsidR="009072DB" w:rsidRPr="009C238A" w:rsidRDefault="009072DB" w:rsidP="009072DB">
      <w:pPr>
        <w:pStyle w:val="Intestazione"/>
        <w:tabs>
          <w:tab w:val="clear" w:pos="4819"/>
          <w:tab w:val="left" w:pos="-120"/>
          <w:tab w:val="center" w:pos="1843"/>
        </w:tabs>
        <w:rPr>
          <w:b/>
          <w:lang w:val="en-US"/>
        </w:rPr>
      </w:pPr>
    </w:p>
    <w:p w:rsidR="009072DB" w:rsidRPr="009C238A" w:rsidRDefault="009072DB" w:rsidP="009072DB">
      <w:pPr>
        <w:pStyle w:val="Intestazione"/>
        <w:tabs>
          <w:tab w:val="clear" w:pos="4819"/>
          <w:tab w:val="left" w:pos="-120"/>
          <w:tab w:val="center" w:pos="1843"/>
        </w:tabs>
        <w:rPr>
          <w:b/>
          <w:color w:val="000000" w:themeColor="text1"/>
          <w:lang w:val="en-US"/>
        </w:rPr>
      </w:pPr>
      <w:r w:rsidRPr="009C238A">
        <w:rPr>
          <w:b/>
          <w:color w:val="000000" w:themeColor="text1"/>
          <w:lang w:val="en-US"/>
        </w:rPr>
        <w:t>(20) Borrowings</w:t>
      </w:r>
    </w:p>
    <w:p w:rsidR="00AC7FD7" w:rsidRPr="009C238A" w:rsidRDefault="00AC7FD7" w:rsidP="009072DB">
      <w:pPr>
        <w:pStyle w:val="Intestazione"/>
        <w:tabs>
          <w:tab w:val="clear" w:pos="4819"/>
          <w:tab w:val="left" w:pos="-120"/>
          <w:tab w:val="center" w:pos="1843"/>
        </w:tabs>
        <w:rPr>
          <w:b/>
          <w:lang w:val="en-US"/>
        </w:rPr>
      </w:pPr>
    </w:p>
    <w:p w:rsidR="009072DB" w:rsidRPr="009C238A" w:rsidRDefault="009072DB" w:rsidP="009072DB">
      <w:pPr>
        <w:spacing w:before="120" w:line="240" w:lineRule="atLeast"/>
        <w:ind w:right="-57"/>
        <w:jc w:val="both"/>
        <w:rPr>
          <w:color w:val="000000" w:themeColor="text1"/>
          <w:lang w:val="en-US"/>
        </w:rPr>
      </w:pPr>
      <w:r w:rsidRPr="009C238A">
        <w:rPr>
          <w:color w:val="000000" w:themeColor="text1"/>
          <w:lang w:val="en-US"/>
        </w:rPr>
        <w:t>Borrowings include 431 thousand euros in long-term debt and 7,927 thousand euros for the current portion due within one year.</w:t>
      </w:r>
    </w:p>
    <w:p w:rsidR="009072DB" w:rsidRPr="009C238A" w:rsidRDefault="009072DB" w:rsidP="009072DB">
      <w:pPr>
        <w:spacing w:before="120" w:line="240" w:lineRule="atLeast"/>
        <w:ind w:right="-57"/>
        <w:jc w:val="both"/>
        <w:rPr>
          <w:color w:val="000000" w:themeColor="text1"/>
          <w:lang w:val="en-US"/>
        </w:rPr>
      </w:pPr>
    </w:p>
    <w:p w:rsidR="009072DB" w:rsidRPr="009C238A" w:rsidRDefault="009072DB" w:rsidP="009072DB">
      <w:pPr>
        <w:spacing w:line="240" w:lineRule="atLeast"/>
        <w:ind w:right="-57"/>
        <w:jc w:val="both"/>
        <w:rPr>
          <w:color w:val="000000" w:themeColor="text1"/>
          <w:lang w:val="en-US"/>
        </w:rPr>
      </w:pPr>
      <w:r w:rsidRPr="009C238A">
        <w:rPr>
          <w:color w:val="000000" w:themeColor="text1"/>
          <w:lang w:val="en-US"/>
        </w:rPr>
        <w:t xml:space="preserve">The table below lists the borrowings at September 30, 2013 (amounts in thousands of euros): </w:t>
      </w:r>
    </w:p>
    <w:p w:rsidR="009072DB" w:rsidRPr="009C238A" w:rsidRDefault="009072DB" w:rsidP="009072DB">
      <w:pPr>
        <w:pStyle w:val="Intestazione"/>
        <w:tabs>
          <w:tab w:val="clear" w:pos="4819"/>
          <w:tab w:val="left" w:pos="240"/>
          <w:tab w:val="center" w:pos="1843"/>
        </w:tabs>
        <w:jc w:val="both"/>
        <w:rPr>
          <w:highlight w:val="yellow"/>
          <w:lang w:val="en-US"/>
        </w:rPr>
      </w:pPr>
    </w:p>
    <w:tbl>
      <w:tblPr>
        <w:tblW w:w="4821" w:type="pct"/>
        <w:tblCellMar>
          <w:left w:w="70" w:type="dxa"/>
          <w:right w:w="70" w:type="dxa"/>
        </w:tblCellMar>
        <w:tblLook w:val="04A0"/>
      </w:tblPr>
      <w:tblGrid>
        <w:gridCol w:w="2197"/>
        <w:gridCol w:w="1440"/>
        <w:gridCol w:w="2427"/>
        <w:gridCol w:w="1121"/>
        <w:gridCol w:w="1121"/>
        <w:gridCol w:w="1116"/>
      </w:tblGrid>
      <w:tr w:rsidR="009072DB" w:rsidRPr="009C238A" w:rsidTr="009072DB">
        <w:trPr>
          <w:trHeight w:val="525"/>
        </w:trPr>
        <w:tc>
          <w:tcPr>
            <w:tcW w:w="11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both"/>
              <w:rPr>
                <w:b/>
                <w:bCs/>
                <w:sz w:val="20"/>
                <w:szCs w:val="20"/>
                <w:lang w:val="en-US"/>
              </w:rPr>
            </w:pPr>
            <w:r w:rsidRPr="009C238A">
              <w:rPr>
                <w:b/>
                <w:bCs/>
                <w:color w:val="000000" w:themeColor="text1"/>
                <w:sz w:val="20"/>
                <w:szCs w:val="20"/>
                <w:lang w:val="en-US"/>
              </w:rPr>
              <w:t>Lender</w:t>
            </w:r>
          </w:p>
        </w:tc>
        <w:tc>
          <w:tcPr>
            <w:tcW w:w="76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ind w:left="-275"/>
              <w:jc w:val="right"/>
              <w:rPr>
                <w:b/>
                <w:bCs/>
                <w:sz w:val="20"/>
                <w:szCs w:val="20"/>
                <w:lang w:val="en-US"/>
              </w:rPr>
            </w:pPr>
            <w:r w:rsidRPr="009C238A">
              <w:rPr>
                <w:b/>
                <w:bCs/>
                <w:color w:val="000000" w:themeColor="text1"/>
                <w:sz w:val="20"/>
                <w:szCs w:val="20"/>
                <w:lang w:val="en-US"/>
              </w:rPr>
              <w:t>Currency</w:t>
            </w:r>
          </w:p>
        </w:tc>
        <w:tc>
          <w:tcPr>
            <w:tcW w:w="128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ind w:right="256"/>
              <w:jc w:val="right"/>
              <w:rPr>
                <w:b/>
                <w:bCs/>
                <w:sz w:val="20"/>
                <w:szCs w:val="20"/>
                <w:lang w:val="en-US"/>
              </w:rPr>
            </w:pPr>
            <w:r w:rsidRPr="009C238A">
              <w:rPr>
                <w:b/>
                <w:bCs/>
                <w:color w:val="000000" w:themeColor="text1"/>
                <w:sz w:val="20"/>
                <w:szCs w:val="20"/>
                <w:lang w:val="en-US"/>
              </w:rPr>
              <w:t>Current portion</w:t>
            </w:r>
          </w:p>
        </w:tc>
        <w:tc>
          <w:tcPr>
            <w:tcW w:w="595"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ind w:left="-110"/>
              <w:jc w:val="right"/>
              <w:rPr>
                <w:b/>
                <w:bCs/>
                <w:sz w:val="20"/>
                <w:szCs w:val="20"/>
                <w:lang w:val="en-US"/>
              </w:rPr>
            </w:pPr>
            <w:r w:rsidRPr="009C238A">
              <w:rPr>
                <w:b/>
                <w:bCs/>
                <w:color w:val="000000" w:themeColor="text1"/>
                <w:sz w:val="20"/>
                <w:szCs w:val="20"/>
                <w:lang w:val="en-US"/>
              </w:rPr>
              <w:t>Non-current portion</w:t>
            </w:r>
          </w:p>
        </w:tc>
        <w:tc>
          <w:tcPr>
            <w:tcW w:w="595"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Amount due after 5 years</w:t>
            </w:r>
          </w:p>
        </w:tc>
        <w:tc>
          <w:tcPr>
            <w:tcW w:w="592"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Total </w:t>
            </w:r>
          </w:p>
        </w:tc>
      </w:tr>
      <w:tr w:rsidR="009072DB" w:rsidRPr="009C238A" w:rsidTr="009072DB">
        <w:trPr>
          <w:trHeight w:val="255"/>
        </w:trPr>
        <w:tc>
          <w:tcPr>
            <w:tcW w:w="11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GE Capital  USD</w:t>
            </w:r>
          </w:p>
        </w:tc>
        <w:tc>
          <w:tcPr>
            <w:tcW w:w="76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288" w:type="pct"/>
            <w:tcBorders>
              <w:top w:val="nil"/>
              <w:left w:val="nil"/>
              <w:bottom w:val="nil"/>
              <w:right w:val="nil"/>
            </w:tcBorders>
            <w:shd w:val="clear" w:color="auto" w:fill="auto"/>
            <w:vAlign w:val="center"/>
            <w:hideMark/>
          </w:tcPr>
          <w:p w:rsidR="009072DB" w:rsidRPr="009C238A" w:rsidRDefault="009072DB" w:rsidP="009072DB">
            <w:pPr>
              <w:ind w:right="256"/>
              <w:jc w:val="right"/>
              <w:rPr>
                <w:sz w:val="20"/>
                <w:szCs w:val="20"/>
                <w:lang w:val="en-US"/>
              </w:rPr>
            </w:pPr>
            <w:r w:rsidRPr="009C238A">
              <w:rPr>
                <w:sz w:val="20"/>
                <w:szCs w:val="20"/>
                <w:lang w:val="en-US"/>
              </w:rPr>
              <w:t>8,554</w:t>
            </w:r>
          </w:p>
        </w:tc>
        <w:tc>
          <w:tcPr>
            <w:tcW w:w="595"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95"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92"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8,554</w:t>
            </w:r>
          </w:p>
        </w:tc>
      </w:tr>
      <w:tr w:rsidR="009072DB" w:rsidRPr="009C238A" w:rsidTr="009072DB">
        <w:trPr>
          <w:trHeight w:val="255"/>
        </w:trPr>
        <w:tc>
          <w:tcPr>
            <w:tcW w:w="11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p>
        </w:tc>
        <w:tc>
          <w:tcPr>
            <w:tcW w:w="76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color w:val="000000" w:themeColor="text1"/>
                <w:sz w:val="20"/>
                <w:szCs w:val="20"/>
                <w:lang w:val="en-US"/>
              </w:rPr>
              <w:t>Amt. in EUR</w:t>
            </w:r>
          </w:p>
        </w:tc>
        <w:tc>
          <w:tcPr>
            <w:tcW w:w="1288" w:type="pct"/>
            <w:tcBorders>
              <w:top w:val="nil"/>
              <w:left w:val="nil"/>
              <w:bottom w:val="nil"/>
              <w:right w:val="nil"/>
            </w:tcBorders>
            <w:shd w:val="clear" w:color="auto" w:fill="auto"/>
            <w:vAlign w:val="center"/>
            <w:hideMark/>
          </w:tcPr>
          <w:p w:rsidR="009072DB" w:rsidRPr="009C238A" w:rsidRDefault="009072DB" w:rsidP="009072DB">
            <w:pPr>
              <w:ind w:right="256"/>
              <w:jc w:val="right"/>
              <w:rPr>
                <w:sz w:val="20"/>
                <w:szCs w:val="20"/>
                <w:lang w:val="en-US"/>
              </w:rPr>
            </w:pPr>
            <w:r w:rsidRPr="009C238A">
              <w:rPr>
                <w:sz w:val="20"/>
                <w:szCs w:val="20"/>
                <w:lang w:val="en-US"/>
              </w:rPr>
              <w:t>6,334</w:t>
            </w:r>
          </w:p>
        </w:tc>
        <w:tc>
          <w:tcPr>
            <w:tcW w:w="59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95"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92"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6,334</w:t>
            </w:r>
          </w:p>
        </w:tc>
      </w:tr>
      <w:tr w:rsidR="009072DB" w:rsidRPr="009C238A" w:rsidTr="009072DB">
        <w:trPr>
          <w:trHeight w:val="255"/>
        </w:trPr>
        <w:tc>
          <w:tcPr>
            <w:tcW w:w="11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GE Capital Euro</w:t>
            </w:r>
          </w:p>
        </w:tc>
        <w:tc>
          <w:tcPr>
            <w:tcW w:w="76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288" w:type="pct"/>
            <w:tcBorders>
              <w:top w:val="nil"/>
              <w:left w:val="nil"/>
              <w:bottom w:val="nil"/>
              <w:right w:val="nil"/>
            </w:tcBorders>
            <w:shd w:val="clear" w:color="auto" w:fill="auto"/>
            <w:vAlign w:val="center"/>
            <w:hideMark/>
          </w:tcPr>
          <w:p w:rsidR="009072DB" w:rsidRPr="009C238A" w:rsidRDefault="009072DB" w:rsidP="009072DB">
            <w:pPr>
              <w:ind w:right="256"/>
              <w:jc w:val="right"/>
              <w:rPr>
                <w:sz w:val="20"/>
                <w:szCs w:val="20"/>
                <w:lang w:val="en-US"/>
              </w:rPr>
            </w:pPr>
            <w:r w:rsidRPr="009C238A">
              <w:rPr>
                <w:sz w:val="20"/>
                <w:szCs w:val="20"/>
                <w:lang w:val="en-US"/>
              </w:rPr>
              <w:t>1,379</w:t>
            </w:r>
          </w:p>
        </w:tc>
        <w:tc>
          <w:tcPr>
            <w:tcW w:w="595"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95"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92"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1,379</w:t>
            </w:r>
          </w:p>
        </w:tc>
      </w:tr>
      <w:tr w:rsidR="009072DB" w:rsidRPr="009C238A" w:rsidTr="009072DB">
        <w:trPr>
          <w:trHeight w:val="255"/>
        </w:trPr>
        <w:tc>
          <w:tcPr>
            <w:tcW w:w="1166" w:type="pct"/>
            <w:tcBorders>
              <w:top w:val="nil"/>
              <w:left w:val="nil"/>
              <w:bottom w:val="nil"/>
              <w:right w:val="nil"/>
            </w:tcBorders>
            <w:shd w:val="clear" w:color="auto" w:fill="auto"/>
            <w:vAlign w:val="center"/>
            <w:hideMark/>
          </w:tcPr>
          <w:p w:rsidR="009072DB" w:rsidRPr="009C238A" w:rsidRDefault="009072DB" w:rsidP="009072DB">
            <w:pPr>
              <w:jc w:val="both"/>
              <w:rPr>
                <w:sz w:val="20"/>
                <w:szCs w:val="20"/>
                <w:lang w:val="en-US"/>
              </w:rPr>
            </w:pPr>
            <w:r w:rsidRPr="009C238A">
              <w:rPr>
                <w:color w:val="000000" w:themeColor="text1"/>
                <w:sz w:val="18"/>
                <w:szCs w:val="18"/>
                <w:lang w:val="en-US"/>
              </w:rPr>
              <w:t>IMI MIUR</w:t>
            </w:r>
          </w:p>
        </w:tc>
        <w:tc>
          <w:tcPr>
            <w:tcW w:w="76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288" w:type="pct"/>
            <w:tcBorders>
              <w:top w:val="nil"/>
              <w:left w:val="nil"/>
              <w:bottom w:val="nil"/>
              <w:right w:val="nil"/>
            </w:tcBorders>
            <w:shd w:val="clear" w:color="auto" w:fill="auto"/>
            <w:vAlign w:val="center"/>
            <w:hideMark/>
          </w:tcPr>
          <w:p w:rsidR="009072DB" w:rsidRPr="009C238A" w:rsidRDefault="009072DB" w:rsidP="009072DB">
            <w:pPr>
              <w:ind w:right="256"/>
              <w:jc w:val="right"/>
              <w:rPr>
                <w:sz w:val="20"/>
                <w:szCs w:val="20"/>
                <w:lang w:val="en-US"/>
              </w:rPr>
            </w:pPr>
            <w:r w:rsidRPr="009C238A">
              <w:rPr>
                <w:sz w:val="20"/>
                <w:szCs w:val="20"/>
                <w:lang w:val="en-US"/>
              </w:rPr>
              <w:t>196</w:t>
            </w:r>
          </w:p>
        </w:tc>
        <w:tc>
          <w:tcPr>
            <w:tcW w:w="595"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397</w:t>
            </w:r>
          </w:p>
        </w:tc>
        <w:tc>
          <w:tcPr>
            <w:tcW w:w="595"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92"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593</w:t>
            </w:r>
          </w:p>
        </w:tc>
      </w:tr>
      <w:tr w:rsidR="009072DB" w:rsidRPr="009C238A" w:rsidTr="009072DB">
        <w:trPr>
          <w:trHeight w:val="255"/>
        </w:trPr>
        <w:tc>
          <w:tcPr>
            <w:tcW w:w="1166" w:type="pct"/>
            <w:tcBorders>
              <w:top w:val="nil"/>
              <w:left w:val="nil"/>
              <w:bottom w:val="nil"/>
              <w:right w:val="nil"/>
            </w:tcBorders>
            <w:shd w:val="clear" w:color="auto" w:fill="auto"/>
            <w:vAlign w:val="center"/>
            <w:hideMark/>
          </w:tcPr>
          <w:p w:rsidR="009072DB" w:rsidRPr="009C238A" w:rsidRDefault="009072DB" w:rsidP="009072DB">
            <w:pPr>
              <w:jc w:val="both"/>
              <w:rPr>
                <w:sz w:val="20"/>
                <w:szCs w:val="20"/>
                <w:lang w:val="en-US"/>
              </w:rPr>
            </w:pPr>
            <w:r w:rsidRPr="009C238A">
              <w:rPr>
                <w:color w:val="000000" w:themeColor="text1"/>
                <w:sz w:val="20"/>
                <w:szCs w:val="20"/>
                <w:lang w:val="en-US"/>
              </w:rPr>
              <w:t>Finance leases</w:t>
            </w:r>
            <w:r w:rsidRPr="009C238A" w:rsidDel="00821257">
              <w:rPr>
                <w:color w:val="000000" w:themeColor="text1"/>
                <w:sz w:val="20"/>
                <w:szCs w:val="20"/>
                <w:lang w:val="en-US"/>
              </w:rPr>
              <w:t xml:space="preserve"> </w:t>
            </w:r>
          </w:p>
        </w:tc>
        <w:tc>
          <w:tcPr>
            <w:tcW w:w="76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288" w:type="pct"/>
            <w:tcBorders>
              <w:top w:val="nil"/>
              <w:left w:val="nil"/>
              <w:bottom w:val="nil"/>
              <w:right w:val="nil"/>
            </w:tcBorders>
            <w:shd w:val="clear" w:color="auto" w:fill="auto"/>
            <w:vAlign w:val="center"/>
            <w:hideMark/>
          </w:tcPr>
          <w:p w:rsidR="009072DB" w:rsidRPr="009C238A" w:rsidRDefault="009072DB" w:rsidP="009072DB">
            <w:pPr>
              <w:ind w:right="256"/>
              <w:jc w:val="right"/>
              <w:rPr>
                <w:sz w:val="20"/>
                <w:szCs w:val="20"/>
                <w:lang w:val="en-US"/>
              </w:rPr>
            </w:pPr>
            <w:r w:rsidRPr="009C238A">
              <w:rPr>
                <w:sz w:val="20"/>
                <w:szCs w:val="20"/>
                <w:lang w:val="en-US"/>
              </w:rPr>
              <w:t>18</w:t>
            </w:r>
          </w:p>
        </w:tc>
        <w:tc>
          <w:tcPr>
            <w:tcW w:w="595"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34</w:t>
            </w:r>
          </w:p>
        </w:tc>
        <w:tc>
          <w:tcPr>
            <w:tcW w:w="595"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92"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52</w:t>
            </w:r>
          </w:p>
        </w:tc>
      </w:tr>
      <w:tr w:rsidR="009072DB" w:rsidRPr="009C238A" w:rsidTr="009072DB">
        <w:trPr>
          <w:trHeight w:val="255"/>
        </w:trPr>
        <w:tc>
          <w:tcPr>
            <w:tcW w:w="11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b/>
                <w:bCs/>
                <w:sz w:val="20"/>
                <w:szCs w:val="20"/>
                <w:lang w:val="en-US"/>
              </w:rPr>
            </w:pPr>
            <w:r w:rsidRPr="009C238A">
              <w:rPr>
                <w:b/>
                <w:bCs/>
                <w:sz w:val="20"/>
                <w:szCs w:val="20"/>
                <w:lang w:val="en-US"/>
              </w:rPr>
              <w:t>TOTAL</w:t>
            </w:r>
          </w:p>
        </w:tc>
        <w:tc>
          <w:tcPr>
            <w:tcW w:w="76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sz w:val="20"/>
                <w:szCs w:val="20"/>
                <w:lang w:val="en-US"/>
              </w:rPr>
            </w:pPr>
            <w:r w:rsidRPr="009C238A">
              <w:rPr>
                <w:sz w:val="20"/>
                <w:szCs w:val="20"/>
                <w:lang w:val="en-US"/>
              </w:rPr>
              <w:t> </w:t>
            </w:r>
          </w:p>
        </w:tc>
        <w:tc>
          <w:tcPr>
            <w:tcW w:w="128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center"/>
              <w:rPr>
                <w:b/>
                <w:bCs/>
                <w:sz w:val="20"/>
                <w:szCs w:val="20"/>
                <w:lang w:val="en-US"/>
              </w:rPr>
            </w:pPr>
            <w:r w:rsidRPr="009C238A">
              <w:rPr>
                <w:b/>
                <w:bCs/>
                <w:sz w:val="20"/>
                <w:szCs w:val="20"/>
                <w:lang w:val="en-US"/>
              </w:rPr>
              <w:t xml:space="preserve">                           7,927</w:t>
            </w:r>
          </w:p>
        </w:tc>
        <w:tc>
          <w:tcPr>
            <w:tcW w:w="595"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431</w:t>
            </w:r>
          </w:p>
        </w:tc>
        <w:tc>
          <w:tcPr>
            <w:tcW w:w="595"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w:t>
            </w:r>
          </w:p>
        </w:tc>
        <w:tc>
          <w:tcPr>
            <w:tcW w:w="592" w:type="pct"/>
            <w:tcBorders>
              <w:top w:val="single" w:sz="4" w:space="0" w:color="auto"/>
              <w:left w:val="nil"/>
              <w:bottom w:val="single" w:sz="4" w:space="0" w:color="auto"/>
              <w:right w:val="nil"/>
            </w:tcBorders>
            <w:shd w:val="clear" w:color="auto" w:fill="auto"/>
            <w:vAlign w:val="center"/>
            <w:hideMark/>
          </w:tcPr>
          <w:p w:rsidR="009072DB" w:rsidRPr="009C238A" w:rsidRDefault="0011314E" w:rsidP="009072DB">
            <w:pPr>
              <w:jc w:val="right"/>
              <w:rPr>
                <w:b/>
                <w:bCs/>
                <w:sz w:val="20"/>
                <w:szCs w:val="20"/>
                <w:lang w:val="en-US"/>
              </w:rPr>
            </w:pPr>
            <w:r w:rsidRPr="009C238A">
              <w:rPr>
                <w:b/>
                <w:bCs/>
                <w:sz w:val="20"/>
                <w:szCs w:val="20"/>
                <w:lang w:val="en-US"/>
              </w:rPr>
              <w:t>8,358</w:t>
            </w:r>
          </w:p>
        </w:tc>
      </w:tr>
    </w:tbl>
    <w:p w:rsidR="009072DB" w:rsidRPr="009C238A" w:rsidRDefault="009072DB" w:rsidP="009072DB">
      <w:pPr>
        <w:pStyle w:val="Intestazione"/>
        <w:tabs>
          <w:tab w:val="clear" w:pos="4819"/>
          <w:tab w:val="left" w:pos="240"/>
          <w:tab w:val="center" w:pos="1843"/>
        </w:tabs>
        <w:jc w:val="both"/>
        <w:rPr>
          <w:highlight w:val="yellow"/>
          <w:lang w:val="en-US"/>
        </w:rPr>
      </w:pPr>
    </w:p>
    <w:p w:rsidR="00AC7FD7" w:rsidRPr="009C238A" w:rsidRDefault="00AC7FD7" w:rsidP="009072DB">
      <w:pPr>
        <w:pStyle w:val="Intestazione"/>
        <w:tabs>
          <w:tab w:val="clear" w:pos="4819"/>
          <w:tab w:val="left" w:pos="240"/>
          <w:tab w:val="center" w:pos="1843"/>
        </w:tabs>
        <w:jc w:val="both"/>
        <w:rPr>
          <w:highlight w:val="yellow"/>
          <w:lang w:val="en-US"/>
        </w:rPr>
      </w:pPr>
    </w:p>
    <w:p w:rsidR="00AC7FD7" w:rsidRPr="009C238A" w:rsidRDefault="00AC7FD7" w:rsidP="009072DB">
      <w:pPr>
        <w:pStyle w:val="Intestazione"/>
        <w:tabs>
          <w:tab w:val="clear" w:pos="4819"/>
          <w:tab w:val="left" w:pos="240"/>
          <w:tab w:val="center" w:pos="1843"/>
        </w:tabs>
        <w:jc w:val="both"/>
        <w:rPr>
          <w:highlight w:val="yellow"/>
          <w:lang w:val="en-US"/>
        </w:rPr>
      </w:pPr>
    </w:p>
    <w:p w:rsidR="00AC7FD7" w:rsidRPr="009C238A" w:rsidRDefault="00AC7FD7" w:rsidP="009072DB">
      <w:pPr>
        <w:pStyle w:val="Intestazione"/>
        <w:tabs>
          <w:tab w:val="clear" w:pos="4819"/>
          <w:tab w:val="left" w:pos="240"/>
          <w:tab w:val="center" w:pos="1843"/>
        </w:tabs>
        <w:jc w:val="both"/>
        <w:rPr>
          <w:highlight w:val="yellow"/>
          <w:lang w:val="en-US"/>
        </w:rPr>
      </w:pPr>
    </w:p>
    <w:p w:rsidR="00AC7FD7" w:rsidRPr="009C238A" w:rsidRDefault="00AC7FD7" w:rsidP="009072DB">
      <w:pPr>
        <w:pStyle w:val="Intestazione"/>
        <w:tabs>
          <w:tab w:val="clear" w:pos="4819"/>
          <w:tab w:val="left" w:pos="240"/>
          <w:tab w:val="center" w:pos="1843"/>
        </w:tabs>
        <w:jc w:val="both"/>
        <w:rPr>
          <w:highlight w:val="yellow"/>
          <w:lang w:val="en-US"/>
        </w:rPr>
      </w:pPr>
    </w:p>
    <w:p w:rsidR="00AC7FD7" w:rsidRPr="009C238A" w:rsidRDefault="00AC7FD7" w:rsidP="009072DB">
      <w:pPr>
        <w:pStyle w:val="Intestazione"/>
        <w:tabs>
          <w:tab w:val="clear" w:pos="4819"/>
          <w:tab w:val="left" w:pos="240"/>
          <w:tab w:val="center" w:pos="1843"/>
        </w:tabs>
        <w:jc w:val="both"/>
        <w:rPr>
          <w:highlight w:val="yellow"/>
          <w:lang w:val="en-US"/>
        </w:rPr>
      </w:pPr>
    </w:p>
    <w:p w:rsidR="00AC7FD7" w:rsidRPr="009C238A" w:rsidRDefault="00AC7FD7" w:rsidP="009072DB">
      <w:pPr>
        <w:pStyle w:val="Intestazione"/>
        <w:tabs>
          <w:tab w:val="clear" w:pos="4819"/>
          <w:tab w:val="left" w:pos="240"/>
          <w:tab w:val="center" w:pos="1843"/>
        </w:tabs>
        <w:jc w:val="both"/>
        <w:rPr>
          <w:highlight w:val="yellow"/>
          <w:lang w:val="en-US"/>
        </w:rPr>
      </w:pP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The table below lists the changes that occurred in the facilities outstanding as of the date of this quarterly report compared with December 31, 2012 (amounts in thousands of euros):</w:t>
      </w:r>
    </w:p>
    <w:p w:rsidR="009072DB" w:rsidRPr="009C238A" w:rsidRDefault="009072DB" w:rsidP="009072DB">
      <w:pPr>
        <w:tabs>
          <w:tab w:val="left" w:pos="534"/>
          <w:tab w:val="left" w:pos="6111"/>
          <w:tab w:val="center" w:pos="7575"/>
          <w:tab w:val="center" w:pos="8471"/>
        </w:tabs>
        <w:ind w:left="-34"/>
        <w:jc w:val="both"/>
        <w:rPr>
          <w:lang w:val="en-US"/>
        </w:rPr>
      </w:pPr>
    </w:p>
    <w:tbl>
      <w:tblPr>
        <w:tblW w:w="5000" w:type="pct"/>
        <w:tblCellMar>
          <w:left w:w="70" w:type="dxa"/>
          <w:right w:w="70" w:type="dxa"/>
        </w:tblCellMar>
        <w:tblLook w:val="04A0"/>
      </w:tblPr>
      <w:tblGrid>
        <w:gridCol w:w="2494"/>
        <w:gridCol w:w="1156"/>
        <w:gridCol w:w="1144"/>
        <w:gridCol w:w="1196"/>
        <w:gridCol w:w="1119"/>
        <w:gridCol w:w="1485"/>
        <w:gridCol w:w="1178"/>
      </w:tblGrid>
      <w:tr w:rsidR="009072DB" w:rsidRPr="009C238A" w:rsidTr="009072DB">
        <w:trPr>
          <w:trHeight w:val="765"/>
        </w:trPr>
        <w:tc>
          <w:tcPr>
            <w:tcW w:w="128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both"/>
              <w:rPr>
                <w:b/>
                <w:bCs/>
                <w:sz w:val="20"/>
                <w:szCs w:val="20"/>
                <w:lang w:val="en-US"/>
              </w:rPr>
            </w:pPr>
            <w:r w:rsidRPr="009C238A">
              <w:rPr>
                <w:b/>
                <w:bCs/>
                <w:sz w:val="20"/>
                <w:szCs w:val="20"/>
                <w:lang w:val="en-US"/>
              </w:rPr>
              <w:t> </w:t>
            </w:r>
          </w:p>
        </w:tc>
        <w:tc>
          <w:tcPr>
            <w:tcW w:w="600"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Balance at 12/31/2012</w:t>
            </w:r>
          </w:p>
        </w:tc>
        <w:tc>
          <w:tcPr>
            <w:tcW w:w="594"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Borrowings </w:t>
            </w:r>
          </w:p>
        </w:tc>
        <w:tc>
          <w:tcPr>
            <w:tcW w:w="56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Repayments</w:t>
            </w:r>
            <w:r w:rsidRPr="009C238A">
              <w:rPr>
                <w:b/>
                <w:bCs/>
                <w:sz w:val="20"/>
                <w:szCs w:val="20"/>
                <w:lang w:val="en-US"/>
              </w:rPr>
              <w:t xml:space="preserve"> </w:t>
            </w:r>
          </w:p>
        </w:tc>
        <w:tc>
          <w:tcPr>
            <w:tcW w:w="5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Currency translation differences</w:t>
            </w:r>
          </w:p>
        </w:tc>
        <w:tc>
          <w:tcPr>
            <w:tcW w:w="768"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Amortized cost effect</w:t>
            </w:r>
          </w:p>
        </w:tc>
        <w:tc>
          <w:tcPr>
            <w:tcW w:w="61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Balance at 9/30/2013</w:t>
            </w:r>
          </w:p>
        </w:tc>
      </w:tr>
      <w:tr w:rsidR="009072DB" w:rsidRPr="009C238A" w:rsidTr="009072DB">
        <w:trPr>
          <w:trHeight w:val="150"/>
        </w:trPr>
        <w:tc>
          <w:tcPr>
            <w:tcW w:w="1285" w:type="pct"/>
            <w:tcBorders>
              <w:top w:val="nil"/>
              <w:left w:val="nil"/>
              <w:bottom w:val="nil"/>
              <w:right w:val="nil"/>
            </w:tcBorders>
            <w:shd w:val="clear" w:color="000000" w:fill="FFFFFF"/>
            <w:vAlign w:val="center"/>
            <w:hideMark/>
          </w:tcPr>
          <w:p w:rsidR="009072DB" w:rsidRPr="009C238A" w:rsidRDefault="009072DB" w:rsidP="009072DB">
            <w:pPr>
              <w:rPr>
                <w:sz w:val="20"/>
                <w:szCs w:val="20"/>
                <w:lang w:val="en-US"/>
              </w:rPr>
            </w:pPr>
            <w:r w:rsidRPr="009C238A">
              <w:rPr>
                <w:sz w:val="20"/>
                <w:szCs w:val="20"/>
                <w:lang w:val="en-US"/>
              </w:rPr>
              <w:t> </w:t>
            </w:r>
          </w:p>
        </w:tc>
        <w:tc>
          <w:tcPr>
            <w:tcW w:w="600"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594"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56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58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768"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 </w:t>
            </w:r>
          </w:p>
        </w:tc>
        <w:tc>
          <w:tcPr>
            <w:tcW w:w="61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 </w:t>
            </w:r>
          </w:p>
        </w:tc>
      </w:tr>
      <w:tr w:rsidR="009072DB" w:rsidRPr="009C238A" w:rsidTr="009072DB">
        <w:trPr>
          <w:trHeight w:val="255"/>
        </w:trPr>
        <w:tc>
          <w:tcPr>
            <w:tcW w:w="1285" w:type="pct"/>
            <w:tcBorders>
              <w:top w:val="nil"/>
              <w:left w:val="nil"/>
              <w:bottom w:val="nil"/>
              <w:right w:val="nil"/>
            </w:tcBorders>
            <w:shd w:val="clear" w:color="000000" w:fill="FFFFFF"/>
            <w:vAlign w:val="center"/>
            <w:hideMark/>
          </w:tcPr>
          <w:p w:rsidR="009072DB" w:rsidRPr="009C238A" w:rsidRDefault="009072DB" w:rsidP="009072DB">
            <w:pPr>
              <w:rPr>
                <w:sz w:val="20"/>
                <w:szCs w:val="20"/>
                <w:lang w:val="en-US"/>
              </w:rPr>
            </w:pPr>
            <w:r w:rsidRPr="009C238A">
              <w:rPr>
                <w:sz w:val="20"/>
                <w:szCs w:val="20"/>
                <w:lang w:val="en-US"/>
              </w:rPr>
              <w:t xml:space="preserve">GE Capital USD </w:t>
            </w:r>
          </w:p>
        </w:tc>
        <w:tc>
          <w:tcPr>
            <w:tcW w:w="600"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9,707</w:t>
            </w:r>
          </w:p>
        </w:tc>
        <w:tc>
          <w:tcPr>
            <w:tcW w:w="594"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6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(3,287)</w:t>
            </w:r>
          </w:p>
        </w:tc>
        <w:tc>
          <w:tcPr>
            <w:tcW w:w="58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(122)</w:t>
            </w:r>
          </w:p>
        </w:tc>
        <w:tc>
          <w:tcPr>
            <w:tcW w:w="768"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36</w:t>
            </w:r>
          </w:p>
        </w:tc>
        <w:tc>
          <w:tcPr>
            <w:tcW w:w="61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6,334</w:t>
            </w:r>
          </w:p>
        </w:tc>
      </w:tr>
      <w:tr w:rsidR="009072DB" w:rsidRPr="009C238A" w:rsidTr="009072DB">
        <w:trPr>
          <w:trHeight w:val="255"/>
        </w:trPr>
        <w:tc>
          <w:tcPr>
            <w:tcW w:w="1285" w:type="pct"/>
            <w:tcBorders>
              <w:top w:val="nil"/>
              <w:left w:val="nil"/>
              <w:bottom w:val="nil"/>
              <w:right w:val="nil"/>
            </w:tcBorders>
            <w:shd w:val="clear" w:color="000000" w:fill="FFFFFF"/>
            <w:vAlign w:val="center"/>
            <w:hideMark/>
          </w:tcPr>
          <w:p w:rsidR="009072DB" w:rsidRPr="009C238A" w:rsidRDefault="009072DB" w:rsidP="009072DB">
            <w:pPr>
              <w:rPr>
                <w:sz w:val="20"/>
                <w:szCs w:val="20"/>
                <w:lang w:val="en-US"/>
              </w:rPr>
            </w:pPr>
            <w:r w:rsidRPr="009C238A">
              <w:rPr>
                <w:sz w:val="20"/>
                <w:szCs w:val="20"/>
                <w:lang w:val="en-US"/>
              </w:rPr>
              <w:t>GE Capital EUR</w:t>
            </w:r>
          </w:p>
        </w:tc>
        <w:tc>
          <w:tcPr>
            <w:tcW w:w="600"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2,069</w:t>
            </w:r>
          </w:p>
        </w:tc>
        <w:tc>
          <w:tcPr>
            <w:tcW w:w="594"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6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(690)</w:t>
            </w:r>
          </w:p>
        </w:tc>
        <w:tc>
          <w:tcPr>
            <w:tcW w:w="581" w:type="pct"/>
            <w:tcBorders>
              <w:top w:val="nil"/>
              <w:left w:val="nil"/>
              <w:bottom w:val="nil"/>
              <w:right w:val="nil"/>
            </w:tcBorders>
            <w:shd w:val="clear" w:color="000000" w:fill="FFFFFF"/>
            <w:vAlign w:val="center"/>
            <w:hideMark/>
          </w:tcPr>
          <w:p w:rsidR="009072DB" w:rsidRPr="009C238A" w:rsidRDefault="00C33DE0" w:rsidP="009072DB">
            <w:pPr>
              <w:jc w:val="right"/>
              <w:rPr>
                <w:sz w:val="20"/>
                <w:szCs w:val="20"/>
                <w:lang w:val="en-US"/>
              </w:rPr>
            </w:pPr>
            <w:r w:rsidRPr="009C238A">
              <w:rPr>
                <w:sz w:val="20"/>
                <w:szCs w:val="20"/>
                <w:lang w:val="en-US"/>
              </w:rPr>
              <w:t>-</w:t>
            </w:r>
            <w:r w:rsidR="009072DB" w:rsidRPr="009C238A">
              <w:rPr>
                <w:sz w:val="20"/>
                <w:szCs w:val="20"/>
                <w:lang w:val="en-US"/>
              </w:rPr>
              <w:t> </w:t>
            </w:r>
          </w:p>
        </w:tc>
        <w:tc>
          <w:tcPr>
            <w:tcW w:w="768" w:type="pct"/>
            <w:tcBorders>
              <w:top w:val="nil"/>
              <w:left w:val="nil"/>
              <w:bottom w:val="nil"/>
              <w:right w:val="nil"/>
            </w:tcBorders>
            <w:shd w:val="clear" w:color="000000" w:fill="FFFFFF"/>
            <w:vAlign w:val="center"/>
            <w:hideMark/>
          </w:tcPr>
          <w:p w:rsidR="009072DB" w:rsidRPr="009C238A" w:rsidRDefault="00C33DE0" w:rsidP="009072DB">
            <w:pPr>
              <w:jc w:val="right"/>
              <w:rPr>
                <w:sz w:val="20"/>
                <w:szCs w:val="20"/>
                <w:lang w:val="en-US"/>
              </w:rPr>
            </w:pPr>
            <w:r w:rsidRPr="009C238A">
              <w:rPr>
                <w:sz w:val="20"/>
                <w:szCs w:val="20"/>
                <w:lang w:val="en-US"/>
              </w:rPr>
              <w:t>-</w:t>
            </w:r>
            <w:r w:rsidR="009072DB" w:rsidRPr="009C238A">
              <w:rPr>
                <w:sz w:val="20"/>
                <w:szCs w:val="20"/>
                <w:lang w:val="en-US"/>
              </w:rPr>
              <w:t> </w:t>
            </w:r>
          </w:p>
        </w:tc>
        <w:tc>
          <w:tcPr>
            <w:tcW w:w="61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1,379</w:t>
            </w:r>
          </w:p>
        </w:tc>
      </w:tr>
      <w:tr w:rsidR="009072DB" w:rsidRPr="009C238A" w:rsidTr="009072DB">
        <w:trPr>
          <w:trHeight w:val="255"/>
        </w:trPr>
        <w:tc>
          <w:tcPr>
            <w:tcW w:w="1285" w:type="pct"/>
            <w:tcBorders>
              <w:top w:val="nil"/>
              <w:left w:val="nil"/>
              <w:bottom w:val="nil"/>
              <w:right w:val="nil"/>
            </w:tcBorders>
            <w:shd w:val="clear" w:color="000000" w:fill="FFFFFF"/>
            <w:vAlign w:val="center"/>
            <w:hideMark/>
          </w:tcPr>
          <w:p w:rsidR="009072DB" w:rsidRPr="009C238A" w:rsidRDefault="009072DB" w:rsidP="009072DB">
            <w:pPr>
              <w:rPr>
                <w:sz w:val="20"/>
                <w:szCs w:val="20"/>
                <w:lang w:val="en-US"/>
              </w:rPr>
            </w:pPr>
            <w:r w:rsidRPr="009C238A">
              <w:rPr>
                <w:sz w:val="20"/>
                <w:szCs w:val="20"/>
                <w:lang w:val="en-US"/>
              </w:rPr>
              <w:t>IMI MIUR</w:t>
            </w:r>
          </w:p>
        </w:tc>
        <w:tc>
          <w:tcPr>
            <w:tcW w:w="600"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783</w:t>
            </w:r>
          </w:p>
        </w:tc>
        <w:tc>
          <w:tcPr>
            <w:tcW w:w="594"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6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(213)</w:t>
            </w:r>
          </w:p>
        </w:tc>
        <w:tc>
          <w:tcPr>
            <w:tcW w:w="581" w:type="pct"/>
            <w:tcBorders>
              <w:top w:val="nil"/>
              <w:left w:val="nil"/>
              <w:bottom w:val="nil"/>
              <w:right w:val="nil"/>
            </w:tcBorders>
            <w:shd w:val="clear" w:color="000000" w:fill="FFFFFF"/>
            <w:vAlign w:val="center"/>
            <w:hideMark/>
          </w:tcPr>
          <w:p w:rsidR="009072DB" w:rsidRPr="009C238A" w:rsidRDefault="00C33DE0" w:rsidP="009072DB">
            <w:pPr>
              <w:jc w:val="right"/>
              <w:rPr>
                <w:sz w:val="20"/>
                <w:szCs w:val="20"/>
                <w:lang w:val="en-US"/>
              </w:rPr>
            </w:pPr>
            <w:r w:rsidRPr="009C238A">
              <w:rPr>
                <w:sz w:val="20"/>
                <w:szCs w:val="20"/>
                <w:lang w:val="en-US"/>
              </w:rPr>
              <w:t>-</w:t>
            </w:r>
            <w:r w:rsidR="009072DB" w:rsidRPr="009C238A">
              <w:rPr>
                <w:sz w:val="20"/>
                <w:szCs w:val="20"/>
                <w:lang w:val="en-US"/>
              </w:rPr>
              <w:t> </w:t>
            </w:r>
          </w:p>
        </w:tc>
        <w:tc>
          <w:tcPr>
            <w:tcW w:w="768"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23</w:t>
            </w:r>
          </w:p>
        </w:tc>
        <w:tc>
          <w:tcPr>
            <w:tcW w:w="61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593</w:t>
            </w:r>
          </w:p>
        </w:tc>
      </w:tr>
      <w:tr w:rsidR="009072DB" w:rsidRPr="009C238A" w:rsidTr="009072DB">
        <w:trPr>
          <w:trHeight w:val="255"/>
        </w:trPr>
        <w:tc>
          <w:tcPr>
            <w:tcW w:w="1285" w:type="pct"/>
            <w:tcBorders>
              <w:top w:val="nil"/>
              <w:left w:val="nil"/>
              <w:bottom w:val="nil"/>
              <w:right w:val="nil"/>
            </w:tcBorders>
            <w:shd w:val="clear" w:color="000000" w:fill="FFFFFF"/>
            <w:vAlign w:val="center"/>
            <w:hideMark/>
          </w:tcPr>
          <w:p w:rsidR="009072DB" w:rsidRPr="009C238A" w:rsidRDefault="009072DB" w:rsidP="009072DB">
            <w:pPr>
              <w:rPr>
                <w:sz w:val="20"/>
                <w:szCs w:val="20"/>
                <w:lang w:val="en-US"/>
              </w:rPr>
            </w:pPr>
            <w:r w:rsidRPr="009C238A">
              <w:rPr>
                <w:sz w:val="20"/>
                <w:szCs w:val="20"/>
                <w:lang w:val="en-US"/>
              </w:rPr>
              <w:t>Finance leases</w:t>
            </w:r>
          </w:p>
        </w:tc>
        <w:tc>
          <w:tcPr>
            <w:tcW w:w="600"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55</w:t>
            </w:r>
          </w:p>
        </w:tc>
        <w:tc>
          <w:tcPr>
            <w:tcW w:w="594"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56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(2)</w:t>
            </w:r>
          </w:p>
        </w:tc>
        <w:tc>
          <w:tcPr>
            <w:tcW w:w="58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(1)</w:t>
            </w:r>
          </w:p>
        </w:tc>
        <w:tc>
          <w:tcPr>
            <w:tcW w:w="768" w:type="pct"/>
            <w:tcBorders>
              <w:top w:val="nil"/>
              <w:left w:val="nil"/>
              <w:bottom w:val="nil"/>
              <w:right w:val="nil"/>
            </w:tcBorders>
            <w:shd w:val="clear" w:color="000000" w:fill="FFFFFF"/>
            <w:vAlign w:val="center"/>
            <w:hideMark/>
          </w:tcPr>
          <w:p w:rsidR="009072DB" w:rsidRPr="009C238A" w:rsidRDefault="00C33DE0" w:rsidP="009072DB">
            <w:pPr>
              <w:jc w:val="right"/>
              <w:rPr>
                <w:sz w:val="20"/>
                <w:szCs w:val="20"/>
                <w:lang w:val="en-US"/>
              </w:rPr>
            </w:pPr>
            <w:r w:rsidRPr="009C238A">
              <w:rPr>
                <w:sz w:val="20"/>
                <w:szCs w:val="20"/>
                <w:lang w:val="en-US"/>
              </w:rPr>
              <w:t>-</w:t>
            </w:r>
            <w:r w:rsidR="009072DB" w:rsidRPr="009C238A">
              <w:rPr>
                <w:sz w:val="20"/>
                <w:szCs w:val="20"/>
                <w:lang w:val="en-US"/>
              </w:rPr>
              <w:t> </w:t>
            </w:r>
          </w:p>
        </w:tc>
        <w:tc>
          <w:tcPr>
            <w:tcW w:w="611" w:type="pct"/>
            <w:tcBorders>
              <w:top w:val="nil"/>
              <w:left w:val="nil"/>
              <w:bottom w:val="nil"/>
              <w:right w:val="nil"/>
            </w:tcBorders>
            <w:shd w:val="clear" w:color="000000" w:fill="FFFFFF"/>
            <w:vAlign w:val="center"/>
            <w:hideMark/>
          </w:tcPr>
          <w:p w:rsidR="009072DB" w:rsidRPr="009C238A" w:rsidRDefault="009072DB" w:rsidP="009072DB">
            <w:pPr>
              <w:jc w:val="right"/>
              <w:rPr>
                <w:sz w:val="20"/>
                <w:szCs w:val="20"/>
                <w:lang w:val="en-US"/>
              </w:rPr>
            </w:pPr>
            <w:r w:rsidRPr="009C238A">
              <w:rPr>
                <w:sz w:val="20"/>
                <w:szCs w:val="20"/>
                <w:lang w:val="en-US"/>
              </w:rPr>
              <w:t>52</w:t>
            </w:r>
          </w:p>
        </w:tc>
      </w:tr>
      <w:tr w:rsidR="009072DB" w:rsidRPr="009C238A" w:rsidTr="009072DB">
        <w:trPr>
          <w:trHeight w:val="510"/>
        </w:trPr>
        <w:tc>
          <w:tcPr>
            <w:tcW w:w="1285"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Total borrowings owed to financial institutions</w:t>
            </w:r>
          </w:p>
        </w:tc>
        <w:tc>
          <w:tcPr>
            <w:tcW w:w="600"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12,614</w:t>
            </w:r>
          </w:p>
        </w:tc>
        <w:tc>
          <w:tcPr>
            <w:tcW w:w="594"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w:t>
            </w:r>
          </w:p>
        </w:tc>
        <w:tc>
          <w:tcPr>
            <w:tcW w:w="56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(4,192)</w:t>
            </w:r>
          </w:p>
        </w:tc>
        <w:tc>
          <w:tcPr>
            <w:tcW w:w="58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(123)</w:t>
            </w:r>
          </w:p>
        </w:tc>
        <w:tc>
          <w:tcPr>
            <w:tcW w:w="768"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59</w:t>
            </w:r>
          </w:p>
        </w:tc>
        <w:tc>
          <w:tcPr>
            <w:tcW w:w="611" w:type="pct"/>
            <w:tcBorders>
              <w:top w:val="single" w:sz="4" w:space="0" w:color="auto"/>
              <w:left w:val="nil"/>
              <w:bottom w:val="single" w:sz="4" w:space="0" w:color="auto"/>
              <w:right w:val="nil"/>
            </w:tcBorders>
            <w:shd w:val="clear" w:color="000000" w:fill="FFFFFF"/>
            <w:vAlign w:val="center"/>
            <w:hideMark/>
          </w:tcPr>
          <w:p w:rsidR="009072DB" w:rsidRPr="009C238A" w:rsidRDefault="009072DB" w:rsidP="009072DB">
            <w:pPr>
              <w:jc w:val="right"/>
              <w:rPr>
                <w:b/>
                <w:bCs/>
                <w:sz w:val="20"/>
                <w:szCs w:val="20"/>
                <w:lang w:val="en-US"/>
              </w:rPr>
            </w:pPr>
            <w:r w:rsidRPr="009C238A">
              <w:rPr>
                <w:b/>
                <w:bCs/>
                <w:sz w:val="20"/>
                <w:szCs w:val="20"/>
                <w:lang w:val="en-US"/>
              </w:rPr>
              <w:t>8,358</w:t>
            </w:r>
          </w:p>
        </w:tc>
      </w:tr>
    </w:tbl>
    <w:p w:rsidR="009072DB" w:rsidRPr="009C238A" w:rsidRDefault="009072DB" w:rsidP="009072DB">
      <w:pPr>
        <w:tabs>
          <w:tab w:val="left" w:pos="534"/>
          <w:tab w:val="left" w:pos="6111"/>
          <w:tab w:val="center" w:pos="7575"/>
          <w:tab w:val="center" w:pos="8471"/>
        </w:tabs>
        <w:ind w:left="-34"/>
        <w:jc w:val="both"/>
        <w:rPr>
          <w:highlight w:val="yellow"/>
          <w:lang w:val="en-US"/>
        </w:rPr>
      </w:pP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The following amo</w:t>
      </w:r>
      <w:r w:rsidR="00C33DE0" w:rsidRPr="009C238A">
        <w:rPr>
          <w:color w:val="000000" w:themeColor="text1"/>
          <w:lang w:val="en-US"/>
        </w:rPr>
        <w:t>unt was repaid in the first nine months</w:t>
      </w:r>
      <w:r w:rsidRPr="009C238A">
        <w:rPr>
          <w:color w:val="000000" w:themeColor="text1"/>
          <w:lang w:val="en-US"/>
        </w:rPr>
        <w:t xml:space="preserve"> of 2013: 4,300 thousand </w:t>
      </w:r>
      <w:r w:rsidR="00C844ED">
        <w:rPr>
          <w:color w:val="000000" w:themeColor="text1"/>
          <w:lang w:val="en-US"/>
        </w:rPr>
        <w:t xml:space="preserve">US </w:t>
      </w:r>
      <w:r w:rsidRPr="009C238A">
        <w:rPr>
          <w:color w:val="000000" w:themeColor="text1"/>
          <w:lang w:val="en-US"/>
        </w:rPr>
        <w:t>dollars to GE Capital (equal to 3,287 thousand euros), 69</w:t>
      </w:r>
      <w:r w:rsidR="00CF148D">
        <w:rPr>
          <w:color w:val="000000" w:themeColor="text1"/>
          <w:lang w:val="en-US"/>
        </w:rPr>
        <w:t>0 thousand euros to GE Capital (amount in euros),</w:t>
      </w:r>
      <w:r w:rsidRPr="009C238A">
        <w:rPr>
          <w:color w:val="000000" w:themeColor="text1"/>
          <w:lang w:val="en-US"/>
        </w:rPr>
        <w:t xml:space="preserve"> 213 thousand euros to IMI-Ministry of Education.</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There were no changes in contract terms compared</w:t>
      </w:r>
      <w:r w:rsidR="00C33DE0" w:rsidRPr="009C238A">
        <w:rPr>
          <w:color w:val="000000" w:themeColor="text1"/>
          <w:lang w:val="en-US"/>
        </w:rPr>
        <w:t xml:space="preserve"> with December 31, 2012 and Dias</w:t>
      </w:r>
      <w:r w:rsidRPr="009C238A">
        <w:rPr>
          <w:color w:val="000000" w:themeColor="text1"/>
          <w:lang w:val="en-US"/>
        </w:rPr>
        <w:t>orin was in compliance with all of the operating and financial covenants of the existing loan agreements.</w:t>
      </w:r>
    </w:p>
    <w:p w:rsidR="009072DB" w:rsidRPr="009C238A" w:rsidRDefault="009072DB" w:rsidP="009072DB">
      <w:pPr>
        <w:pStyle w:val="Intestazione"/>
        <w:tabs>
          <w:tab w:val="clear" w:pos="4819"/>
          <w:tab w:val="left" w:pos="240"/>
          <w:tab w:val="center" w:pos="1843"/>
        </w:tabs>
        <w:jc w:val="both"/>
        <w:rPr>
          <w:b/>
          <w:highlight w:val="yellow"/>
          <w:lang w:val="en-US"/>
        </w:rPr>
      </w:pPr>
    </w:p>
    <w:p w:rsidR="009072DB" w:rsidRPr="009C238A" w:rsidRDefault="009072DB" w:rsidP="009072DB">
      <w:pPr>
        <w:pStyle w:val="Intestazione"/>
        <w:tabs>
          <w:tab w:val="clear" w:pos="4819"/>
          <w:tab w:val="left" w:pos="240"/>
          <w:tab w:val="center" w:pos="1843"/>
        </w:tabs>
        <w:jc w:val="both"/>
        <w:rPr>
          <w:b/>
          <w:lang w:val="en-US"/>
        </w:rPr>
      </w:pPr>
    </w:p>
    <w:p w:rsidR="009072DB" w:rsidRPr="009C238A" w:rsidRDefault="009072DB" w:rsidP="009072DB">
      <w:pPr>
        <w:pStyle w:val="Intestazione"/>
        <w:tabs>
          <w:tab w:val="clear" w:pos="4819"/>
          <w:tab w:val="left" w:pos="240"/>
          <w:tab w:val="center" w:pos="1843"/>
        </w:tabs>
        <w:jc w:val="both"/>
        <w:rPr>
          <w:b/>
          <w:lang w:val="en-US"/>
        </w:rPr>
      </w:pPr>
      <w:r w:rsidRPr="009C238A">
        <w:rPr>
          <w:b/>
          <w:lang w:val="en-US"/>
        </w:rPr>
        <w:t>Net financial position</w:t>
      </w:r>
    </w:p>
    <w:p w:rsidR="009072DB" w:rsidRPr="009C238A" w:rsidRDefault="009072DB" w:rsidP="009072DB">
      <w:pPr>
        <w:pStyle w:val="Intestazione"/>
        <w:tabs>
          <w:tab w:val="clear" w:pos="4819"/>
          <w:tab w:val="left" w:pos="240"/>
          <w:tab w:val="center" w:pos="1843"/>
        </w:tabs>
        <w:jc w:val="both"/>
        <w:rPr>
          <w:b/>
          <w:lang w:val="en-US"/>
        </w:rPr>
      </w:pPr>
    </w:p>
    <w:p w:rsidR="009072DB" w:rsidRPr="009C238A" w:rsidRDefault="009072DB" w:rsidP="009072DB">
      <w:pPr>
        <w:pStyle w:val="Intestazione"/>
        <w:tabs>
          <w:tab w:val="clear" w:pos="4819"/>
          <w:tab w:val="left" w:pos="240"/>
          <w:tab w:val="center" w:pos="1843"/>
        </w:tabs>
        <w:jc w:val="both"/>
        <w:rPr>
          <w:lang w:val="en-US"/>
        </w:rPr>
      </w:pPr>
      <w:r w:rsidRPr="009C238A">
        <w:rPr>
          <w:lang w:val="en-US"/>
        </w:rPr>
        <w:t>The table below shows a breakdown of the ne</w:t>
      </w:r>
      <w:r w:rsidR="00C33DE0" w:rsidRPr="009C238A">
        <w:rPr>
          <w:lang w:val="en-US"/>
        </w:rPr>
        <w:t>t financial position of the Dias</w:t>
      </w:r>
      <w:r w:rsidRPr="009C238A">
        <w:rPr>
          <w:lang w:val="en-US"/>
        </w:rPr>
        <w:t>orin Group at September 30, 2013 and provides a comparison with the data at December 31, 2012:</w:t>
      </w:r>
    </w:p>
    <w:p w:rsidR="009072DB" w:rsidRPr="009C238A" w:rsidRDefault="009072DB" w:rsidP="009072DB">
      <w:pPr>
        <w:pStyle w:val="Intestazione"/>
        <w:tabs>
          <w:tab w:val="clear" w:pos="4819"/>
          <w:tab w:val="left" w:pos="240"/>
          <w:tab w:val="center" w:pos="1843"/>
        </w:tabs>
        <w:jc w:val="both"/>
        <w:rPr>
          <w:b/>
          <w:highlight w:val="yellow"/>
          <w:lang w:val="en-US"/>
        </w:rPr>
      </w:pPr>
    </w:p>
    <w:tbl>
      <w:tblPr>
        <w:tblW w:w="5000" w:type="pct"/>
        <w:tblCellMar>
          <w:left w:w="70" w:type="dxa"/>
          <w:right w:w="70" w:type="dxa"/>
        </w:tblCellMar>
        <w:tblLook w:val="04A0"/>
      </w:tblPr>
      <w:tblGrid>
        <w:gridCol w:w="5992"/>
        <w:gridCol w:w="1890"/>
        <w:gridCol w:w="1890"/>
      </w:tblGrid>
      <w:tr w:rsidR="009072DB" w:rsidRPr="009C238A" w:rsidTr="009072DB">
        <w:trPr>
          <w:trHeight w:val="615"/>
        </w:trPr>
        <w:tc>
          <w:tcPr>
            <w:tcW w:w="306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20"/>
                <w:szCs w:val="20"/>
                <w:lang w:val="en-US"/>
              </w:rPr>
            </w:pPr>
            <w:r w:rsidRPr="009C238A">
              <w:rPr>
                <w:i/>
                <w:iCs/>
                <w:color w:val="000000" w:themeColor="text1"/>
                <w:sz w:val="20"/>
                <w:szCs w:val="20"/>
                <w:lang w:val="en-US"/>
              </w:rPr>
              <w:t>(in thousands of euros)</w:t>
            </w:r>
          </w:p>
        </w:tc>
        <w:tc>
          <w:tcPr>
            <w:tcW w:w="967"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967" w:type="pct"/>
            <w:tcBorders>
              <w:top w:val="single" w:sz="4" w:space="0" w:color="auto"/>
              <w:left w:val="nil"/>
              <w:bottom w:val="single" w:sz="4" w:space="0" w:color="auto"/>
              <w:right w:val="nil"/>
            </w:tcBorders>
            <w:shd w:val="clear" w:color="000000" w:fill="FFFFFF"/>
            <w:noWrap/>
            <w:vAlign w:val="center"/>
            <w:hideMark/>
          </w:tcPr>
          <w:p w:rsidR="009072DB" w:rsidRPr="009C238A" w:rsidRDefault="009072DB" w:rsidP="009072DB">
            <w:pPr>
              <w:jc w:val="right"/>
              <w:rPr>
                <w:b/>
                <w:bCs/>
                <w:sz w:val="20"/>
                <w:szCs w:val="20"/>
                <w:lang w:val="en-US"/>
              </w:rPr>
            </w:pPr>
            <w:r w:rsidRPr="009C238A">
              <w:rPr>
                <w:b/>
                <w:bCs/>
                <w:sz w:val="20"/>
                <w:szCs w:val="20"/>
                <w:lang w:val="en-US"/>
              </w:rPr>
              <w:t>12/31/2012</w:t>
            </w:r>
          </w:p>
        </w:tc>
      </w:tr>
      <w:tr w:rsidR="009072DB" w:rsidRPr="009C238A" w:rsidTr="009072DB">
        <w:trPr>
          <w:trHeight w:val="270"/>
        </w:trPr>
        <w:tc>
          <w:tcPr>
            <w:tcW w:w="3066" w:type="pct"/>
            <w:tcBorders>
              <w:top w:val="nil"/>
              <w:left w:val="nil"/>
              <w:bottom w:val="nil"/>
              <w:right w:val="nil"/>
            </w:tcBorders>
            <w:shd w:val="clear" w:color="auto" w:fill="auto"/>
            <w:vAlign w:val="center"/>
            <w:hideMark/>
          </w:tcPr>
          <w:p w:rsidR="009072DB" w:rsidRPr="009C238A" w:rsidRDefault="009072DB" w:rsidP="009072DB">
            <w:pPr>
              <w:rPr>
                <w:b/>
                <w:bCs/>
                <w:i/>
                <w:iCs/>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center"/>
              <w:rPr>
                <w:b/>
                <w:bCs/>
                <w:i/>
                <w:iCs/>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center"/>
              <w:rPr>
                <w:b/>
                <w:bCs/>
                <w:i/>
                <w:iCs/>
                <w:sz w:val="20"/>
                <w:szCs w:val="20"/>
                <w:lang w:val="en-US"/>
              </w:rPr>
            </w:pP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Cash and cash equivalents</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92,361</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104,599</w:t>
            </w:r>
          </w:p>
        </w:tc>
      </w:tr>
      <w:tr w:rsidR="009072DB" w:rsidRPr="009C238A" w:rsidTr="009072DB">
        <w:trPr>
          <w:trHeight w:val="255"/>
        </w:trPr>
        <w:tc>
          <w:tcPr>
            <w:tcW w:w="30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Liquid assets (a)</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92,361</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104,599</w:t>
            </w: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0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Other current financial assets (b)</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150</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263</w:t>
            </w: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b/>
                <w:bCs/>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b/>
                <w:bCs/>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b/>
                <w:bCs/>
                <w:sz w:val="20"/>
                <w:szCs w:val="20"/>
                <w:lang w:val="en-US"/>
              </w:rPr>
            </w:pP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  Current bank debt</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(7,909)</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(8,047)</w:t>
            </w: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  Other current financial liabilities</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(18)</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(19)</w:t>
            </w:r>
          </w:p>
        </w:tc>
      </w:tr>
      <w:tr w:rsidR="009072DB" w:rsidRPr="009C238A" w:rsidTr="009072DB">
        <w:trPr>
          <w:trHeight w:val="225"/>
        </w:trPr>
        <w:tc>
          <w:tcPr>
            <w:tcW w:w="30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Current indebtedness (c)</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(7,927)</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(8,066)</w:t>
            </w: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b/>
                <w:bCs/>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0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Net current financial assets (d)=(a)+(b)+(c)</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84,584</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96,796</w:t>
            </w:r>
          </w:p>
        </w:tc>
      </w:tr>
      <w:tr w:rsidR="009072DB" w:rsidRPr="009C238A" w:rsidTr="009072DB">
        <w:trPr>
          <w:trHeight w:val="64"/>
        </w:trPr>
        <w:tc>
          <w:tcPr>
            <w:tcW w:w="30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p>
        </w:tc>
      </w:tr>
      <w:tr w:rsidR="009072DB" w:rsidRPr="009C238A" w:rsidTr="009072DB">
        <w:trPr>
          <w:trHeight w:val="262"/>
        </w:trPr>
        <w:tc>
          <w:tcPr>
            <w:tcW w:w="3066" w:type="pct"/>
            <w:tcBorders>
              <w:top w:val="nil"/>
              <w:left w:val="nil"/>
              <w:bottom w:val="nil"/>
              <w:right w:val="nil"/>
            </w:tcBorders>
            <w:shd w:val="clear" w:color="auto" w:fill="auto"/>
            <w:vAlign w:val="center"/>
            <w:hideMark/>
          </w:tcPr>
          <w:p w:rsidR="009072DB" w:rsidRPr="009C238A" w:rsidRDefault="009072DB" w:rsidP="009072DB">
            <w:pPr>
              <w:jc w:val="both"/>
              <w:rPr>
                <w:color w:val="000000" w:themeColor="text1"/>
                <w:sz w:val="20"/>
                <w:szCs w:val="20"/>
                <w:lang w:val="en-US"/>
              </w:rPr>
            </w:pPr>
          </w:p>
          <w:p w:rsidR="009072DB" w:rsidRPr="009C238A" w:rsidRDefault="009072DB" w:rsidP="009072DB">
            <w:pPr>
              <w:rPr>
                <w:sz w:val="20"/>
                <w:szCs w:val="20"/>
                <w:lang w:val="en-US"/>
              </w:rPr>
            </w:pPr>
            <w:r w:rsidRPr="009C238A">
              <w:rPr>
                <w:color w:val="000000" w:themeColor="text1"/>
                <w:sz w:val="20"/>
                <w:szCs w:val="20"/>
                <w:lang w:val="en-US"/>
              </w:rPr>
              <w:t xml:space="preserve">  Non-current bank debt</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(397)</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(4,512)</w:t>
            </w: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 xml:space="preserve">  Other non-current financial liabilities</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(34)</w:t>
            </w: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(36)</w:t>
            </w:r>
          </w:p>
        </w:tc>
      </w:tr>
      <w:tr w:rsidR="009072DB" w:rsidRPr="009C238A" w:rsidTr="009072DB">
        <w:trPr>
          <w:trHeight w:val="255"/>
        </w:trPr>
        <w:tc>
          <w:tcPr>
            <w:tcW w:w="30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Non-current indebtedness (e)</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(431)</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(4,548)</w:t>
            </w: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i/>
                <w:iCs/>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i/>
                <w:iCs/>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i/>
                <w:iCs/>
                <w:sz w:val="20"/>
                <w:szCs w:val="20"/>
                <w:lang w:val="en-US"/>
              </w:rPr>
            </w:pPr>
          </w:p>
        </w:tc>
      </w:tr>
      <w:tr w:rsidR="009072DB" w:rsidRPr="009C238A" w:rsidTr="009072DB">
        <w:trPr>
          <w:trHeight w:val="255"/>
        </w:trPr>
        <w:tc>
          <w:tcPr>
            <w:tcW w:w="30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Liabilities to the shareholders for the dividend (f)</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(45,080)</w:t>
            </w:r>
          </w:p>
        </w:tc>
      </w:tr>
      <w:tr w:rsidR="009072DB" w:rsidRPr="009C238A" w:rsidTr="009072DB">
        <w:trPr>
          <w:trHeight w:val="255"/>
        </w:trPr>
        <w:tc>
          <w:tcPr>
            <w:tcW w:w="3066"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p>
        </w:tc>
        <w:tc>
          <w:tcPr>
            <w:tcW w:w="967"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3066"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Net financial position (g)=(d)+(e)+(f)</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84,153</w:t>
            </w:r>
          </w:p>
        </w:tc>
        <w:tc>
          <w:tcPr>
            <w:tcW w:w="96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47,168</w:t>
            </w:r>
          </w:p>
        </w:tc>
      </w:tr>
    </w:tbl>
    <w:p w:rsidR="009072DB" w:rsidRPr="009C238A" w:rsidRDefault="009072DB" w:rsidP="009072DB">
      <w:pPr>
        <w:pStyle w:val="Intestazione"/>
        <w:tabs>
          <w:tab w:val="clear" w:pos="4819"/>
          <w:tab w:val="left" w:pos="240"/>
          <w:tab w:val="center" w:pos="1843"/>
        </w:tabs>
        <w:rPr>
          <w:b/>
          <w:highlight w:val="yellow"/>
          <w:lang w:val="en-US"/>
        </w:rPr>
      </w:pPr>
    </w:p>
    <w:p w:rsidR="009072DB" w:rsidRPr="009C238A" w:rsidRDefault="009072DB" w:rsidP="009072DB">
      <w:pPr>
        <w:spacing w:before="240" w:line="240" w:lineRule="atLeast"/>
        <w:ind w:right="-54"/>
        <w:jc w:val="both"/>
        <w:rPr>
          <w:lang w:val="en-US"/>
        </w:rPr>
      </w:pPr>
      <w:r w:rsidRPr="009C238A">
        <w:rPr>
          <w:lang w:val="en-US"/>
        </w:rPr>
        <w:t>The entire amount of the net financial position reflects transactions with parties outside the Group.</w:t>
      </w:r>
    </w:p>
    <w:p w:rsidR="009072DB" w:rsidRPr="009C238A" w:rsidRDefault="009072DB" w:rsidP="009072DB">
      <w:pPr>
        <w:spacing w:before="240" w:line="240" w:lineRule="atLeast"/>
        <w:ind w:right="-54"/>
        <w:jc w:val="both"/>
        <w:rPr>
          <w:lang w:val="en-US"/>
        </w:rPr>
      </w:pPr>
      <w:r w:rsidRPr="009C238A">
        <w:rPr>
          <w:lang w:val="en-US"/>
        </w:rPr>
        <w:t>A breakdown of the changes in the Group’s liquid assets is provided in the statement of cash flows.</w:t>
      </w:r>
    </w:p>
    <w:p w:rsidR="009072DB" w:rsidRPr="009C238A" w:rsidRDefault="009072DB" w:rsidP="009072DB">
      <w:pPr>
        <w:spacing w:before="240" w:line="240" w:lineRule="atLeast"/>
        <w:ind w:right="-54"/>
        <w:jc w:val="both"/>
        <w:rPr>
          <w:lang w:val="en-US"/>
        </w:rPr>
      </w:pPr>
    </w:p>
    <w:p w:rsidR="009072DB" w:rsidRPr="009C238A" w:rsidRDefault="009072DB" w:rsidP="009072DB">
      <w:pPr>
        <w:pStyle w:val="Intestazione"/>
        <w:tabs>
          <w:tab w:val="clear" w:pos="4819"/>
          <w:tab w:val="left" w:pos="240"/>
          <w:tab w:val="center" w:pos="1843"/>
        </w:tabs>
        <w:jc w:val="both"/>
        <w:rPr>
          <w:b/>
          <w:color w:val="000000" w:themeColor="text1"/>
          <w:lang w:val="en-US"/>
        </w:rPr>
      </w:pPr>
      <w:r w:rsidRPr="009C238A">
        <w:rPr>
          <w:b/>
          <w:color w:val="000000" w:themeColor="text1"/>
          <w:lang w:val="en-US"/>
        </w:rPr>
        <w:t xml:space="preserve">(21) </w:t>
      </w:r>
      <w:r w:rsidRPr="009C238A">
        <w:rPr>
          <w:b/>
          <w:bCs/>
          <w:color w:val="000000" w:themeColor="text1"/>
          <w:lang w:val="en-US"/>
        </w:rPr>
        <w:t>Provision for employee severance indemnities and other employee benefits</w:t>
      </w:r>
    </w:p>
    <w:p w:rsidR="009072DB" w:rsidRPr="009C238A" w:rsidRDefault="009072DB" w:rsidP="009072DB">
      <w:pPr>
        <w:jc w:val="both"/>
        <w:rPr>
          <w:color w:val="000000" w:themeColor="text1"/>
          <w:lang w:val="en-US"/>
        </w:rPr>
      </w:pPr>
    </w:p>
    <w:p w:rsidR="009072DB" w:rsidRPr="009C238A" w:rsidRDefault="009072DB" w:rsidP="009072DB">
      <w:pPr>
        <w:widowControl w:val="0"/>
        <w:autoSpaceDE w:val="0"/>
        <w:autoSpaceDN w:val="0"/>
        <w:adjustRightInd w:val="0"/>
        <w:jc w:val="both"/>
        <w:rPr>
          <w:color w:val="000000" w:themeColor="text1"/>
          <w:lang w:val="en-US"/>
        </w:rPr>
      </w:pPr>
      <w:r w:rsidRPr="009C238A">
        <w:rPr>
          <w:color w:val="000000" w:themeColor="text1"/>
          <w:lang w:val="en-US"/>
        </w:rPr>
        <w:t>The balan</w:t>
      </w:r>
      <w:r w:rsidR="00CF148D">
        <w:rPr>
          <w:color w:val="000000" w:themeColor="text1"/>
          <w:lang w:val="en-US"/>
        </w:rPr>
        <w:t xml:space="preserve">ce in this account reflects all </w:t>
      </w:r>
      <w:r w:rsidRPr="009C238A">
        <w:rPr>
          <w:color w:val="000000" w:themeColor="text1"/>
          <w:lang w:val="en-US"/>
        </w:rPr>
        <w:t xml:space="preserve">of the Group’s pension plans obligations, other post-employment benefits and benefits payable to employees when certain requirements are met. Group companies provide post-employment benefits to their employees by contributing to external funds and by funding defined-contribution and/or defined-benefit plans. </w:t>
      </w:r>
    </w:p>
    <w:p w:rsidR="00554241" w:rsidRPr="009C238A" w:rsidRDefault="00554241" w:rsidP="009072DB">
      <w:pPr>
        <w:widowControl w:val="0"/>
        <w:autoSpaceDE w:val="0"/>
        <w:autoSpaceDN w:val="0"/>
        <w:adjustRightInd w:val="0"/>
        <w:jc w:val="both"/>
        <w:rPr>
          <w:color w:val="000000" w:themeColor="text1"/>
          <w:lang w:val="en-US"/>
        </w:rPr>
      </w:pPr>
    </w:p>
    <w:p w:rsidR="009072DB" w:rsidRPr="009C238A" w:rsidRDefault="009072DB" w:rsidP="009072DB">
      <w:pPr>
        <w:jc w:val="both"/>
        <w:rPr>
          <w:color w:val="000000" w:themeColor="text1"/>
          <w:lang w:val="en-US"/>
        </w:rPr>
      </w:pPr>
      <w:r w:rsidRPr="009C238A">
        <w:rPr>
          <w:color w:val="000000" w:themeColor="text1"/>
          <w:lang w:val="en-US"/>
        </w:rPr>
        <w:t>The manner in which these benefits are provided varies depending on the applicable statutory, tax-related and economic conditions in the countries where Group companies operate. As a rule, benefits are based on each employee’s level of compensation and years of service. The Group’s obligations refer to the employees currently on its payroll.</w:t>
      </w:r>
    </w:p>
    <w:p w:rsidR="009072DB" w:rsidRPr="009C238A" w:rsidRDefault="009072DB" w:rsidP="009072DB">
      <w:pPr>
        <w:spacing w:before="240" w:line="240" w:lineRule="atLeast"/>
        <w:ind w:right="-54"/>
        <w:jc w:val="both"/>
        <w:rPr>
          <w:highlight w:val="yellow"/>
          <w:lang w:val="en-US"/>
        </w:rPr>
      </w:pPr>
    </w:p>
    <w:p w:rsidR="009072DB" w:rsidRPr="009C238A" w:rsidRDefault="009072DB" w:rsidP="009072DB">
      <w:pPr>
        <w:jc w:val="both"/>
        <w:rPr>
          <w:b/>
          <w:lang w:val="en-US"/>
        </w:rPr>
      </w:pPr>
      <w:r w:rsidRPr="009C238A">
        <w:rPr>
          <w:b/>
          <w:bCs/>
          <w:lang w:val="en-US"/>
        </w:rPr>
        <w:t>Defined-contribution plans</w:t>
      </w:r>
    </w:p>
    <w:p w:rsidR="009072DB" w:rsidRPr="009C238A" w:rsidRDefault="009072DB" w:rsidP="009072DB">
      <w:pPr>
        <w:pStyle w:val="Intestazione"/>
        <w:tabs>
          <w:tab w:val="clear" w:pos="4819"/>
          <w:tab w:val="left" w:pos="0"/>
          <w:tab w:val="center" w:pos="1843"/>
        </w:tabs>
        <w:jc w:val="both"/>
        <w:rPr>
          <w:b/>
          <w:highlight w:val="yellow"/>
          <w:u w:val="single"/>
          <w:lang w:val="en-US"/>
        </w:rPr>
      </w:pPr>
    </w:p>
    <w:p w:rsidR="009072DB" w:rsidRPr="009C238A" w:rsidRDefault="009072DB" w:rsidP="009072DB">
      <w:pPr>
        <w:pStyle w:val="Intestazione"/>
        <w:tabs>
          <w:tab w:val="clear" w:pos="4819"/>
          <w:tab w:val="left" w:pos="0"/>
          <w:tab w:val="center" w:pos="1843"/>
        </w:tabs>
        <w:jc w:val="both"/>
        <w:rPr>
          <w:lang w:val="en-US"/>
        </w:rPr>
      </w:pPr>
      <w:r w:rsidRPr="009C238A">
        <w:rPr>
          <w:lang w:val="en-US"/>
        </w:rPr>
        <w:t>Certain Group companies pay contributions to private funds or insurance companies pursuant to a statutory or contractual obligation or on a voluntary basis. With the payment of these contributions, the companies in question absolve all of their obligations. The liability for contributions payable is included under other current liabilities. The cost attributable to each year, which accrues based on the services provided by employees, is recognized as a labor cost of the relevant organizational unit.</w:t>
      </w:r>
    </w:p>
    <w:p w:rsidR="009072DB" w:rsidRPr="009C238A" w:rsidRDefault="009072DB" w:rsidP="009072DB">
      <w:pPr>
        <w:pStyle w:val="Intestazione"/>
        <w:tabs>
          <w:tab w:val="clear" w:pos="4819"/>
          <w:tab w:val="left" w:pos="0"/>
          <w:tab w:val="center" w:pos="1843"/>
        </w:tabs>
        <w:rPr>
          <w:b/>
          <w:u w:val="single"/>
          <w:lang w:val="en-US"/>
        </w:rPr>
      </w:pPr>
    </w:p>
    <w:p w:rsidR="009072DB" w:rsidRPr="009C238A" w:rsidRDefault="009072DB" w:rsidP="009072DB">
      <w:pPr>
        <w:pStyle w:val="Intestazione"/>
        <w:tabs>
          <w:tab w:val="clear" w:pos="4819"/>
          <w:tab w:val="left" w:pos="0"/>
          <w:tab w:val="center" w:pos="1843"/>
        </w:tabs>
        <w:jc w:val="both"/>
        <w:rPr>
          <w:b/>
          <w:lang w:val="en-US"/>
        </w:rPr>
      </w:pPr>
      <w:r w:rsidRPr="009C238A">
        <w:rPr>
          <w:b/>
          <w:bCs/>
          <w:lang w:val="en-US"/>
        </w:rPr>
        <w:t>Defined-benefit plans</w:t>
      </w:r>
    </w:p>
    <w:p w:rsidR="009072DB" w:rsidRPr="009C238A" w:rsidRDefault="009072DB" w:rsidP="009072DB">
      <w:pPr>
        <w:jc w:val="both"/>
        <w:rPr>
          <w:lang w:val="en-US"/>
        </w:rPr>
      </w:pPr>
    </w:p>
    <w:p w:rsidR="009072DB" w:rsidRPr="009C238A" w:rsidRDefault="009072DB" w:rsidP="009072DB">
      <w:pPr>
        <w:widowControl w:val="0"/>
        <w:autoSpaceDE w:val="0"/>
        <w:autoSpaceDN w:val="0"/>
        <w:adjustRightInd w:val="0"/>
        <w:jc w:val="both"/>
        <w:rPr>
          <w:color w:val="000000"/>
          <w:lang w:val="en-US"/>
        </w:rPr>
      </w:pPr>
      <w:r w:rsidRPr="009C238A">
        <w:rPr>
          <w:color w:val="000000"/>
          <w:lang w:val="en-US"/>
        </w:rPr>
        <w:t xml:space="preserve">The Group’s pension plans that qualify as defined-benefit plans include the provisions for employee severance indemnities in Italy, the Alecta system in Sweden and the U-Kasse pension plan and Direct Covenant system in Germany. </w:t>
      </w:r>
    </w:p>
    <w:p w:rsidR="00CC3264" w:rsidRPr="009C238A" w:rsidRDefault="00CC3264" w:rsidP="009072DB">
      <w:pPr>
        <w:widowControl w:val="0"/>
        <w:autoSpaceDE w:val="0"/>
        <w:autoSpaceDN w:val="0"/>
        <w:adjustRightInd w:val="0"/>
        <w:jc w:val="both"/>
        <w:rPr>
          <w:color w:val="000000"/>
          <w:lang w:val="en-US"/>
        </w:rPr>
      </w:pPr>
    </w:p>
    <w:p w:rsidR="009072DB" w:rsidRPr="009C238A" w:rsidRDefault="009072DB" w:rsidP="009072DB">
      <w:pPr>
        <w:jc w:val="both"/>
        <w:rPr>
          <w:color w:val="000000"/>
          <w:lang w:val="en-US"/>
        </w:rPr>
      </w:pPr>
      <w:r w:rsidRPr="009C238A">
        <w:rPr>
          <w:color w:val="000000"/>
          <w:lang w:val="en-US"/>
        </w:rPr>
        <w:t>The liability owed under these plans is recognized at its actuarial value using the projected unit credit method. Any resulting actuarial gains or losses are recognized in accordance with the Corridor Method.</w:t>
      </w:r>
    </w:p>
    <w:p w:rsidR="006273A7" w:rsidRPr="009C238A" w:rsidRDefault="006273A7" w:rsidP="009072DB">
      <w:pPr>
        <w:jc w:val="both"/>
        <w:rPr>
          <w:color w:val="000000"/>
          <w:lang w:val="en-US"/>
        </w:rPr>
      </w:pPr>
    </w:p>
    <w:p w:rsidR="006273A7" w:rsidRPr="009C238A" w:rsidRDefault="006273A7" w:rsidP="009072DB">
      <w:pPr>
        <w:jc w:val="both"/>
        <w:rPr>
          <w:color w:val="000000"/>
          <w:lang w:val="en-US"/>
        </w:rPr>
      </w:pPr>
    </w:p>
    <w:p w:rsidR="009072DB" w:rsidRPr="009C238A" w:rsidRDefault="009072DB" w:rsidP="009072DB">
      <w:pPr>
        <w:jc w:val="both"/>
        <w:rPr>
          <w:b/>
          <w:bCs/>
          <w:sz w:val="23"/>
          <w:szCs w:val="23"/>
          <w:lang w:val="en-US"/>
        </w:rPr>
      </w:pPr>
      <w:r w:rsidRPr="009C238A">
        <w:rPr>
          <w:b/>
          <w:bCs/>
          <w:sz w:val="23"/>
          <w:szCs w:val="23"/>
          <w:lang w:val="en-US"/>
        </w:rPr>
        <w:t>Other employee benefits</w:t>
      </w:r>
    </w:p>
    <w:p w:rsidR="009072DB" w:rsidRDefault="009072DB" w:rsidP="009072DB">
      <w:pPr>
        <w:spacing w:before="240" w:line="240" w:lineRule="atLeast"/>
        <w:ind w:right="-54"/>
        <w:jc w:val="both"/>
        <w:rPr>
          <w:sz w:val="23"/>
          <w:szCs w:val="23"/>
          <w:lang w:val="en-US"/>
        </w:rPr>
      </w:pPr>
      <w:r w:rsidRPr="009C238A">
        <w:rPr>
          <w:sz w:val="23"/>
          <w:szCs w:val="23"/>
          <w:lang w:val="en-US"/>
        </w:rPr>
        <w:t xml:space="preserve">The Group also provides its employees with additional long-term benefits, which are paid when employees reach a predetermined length of service. In these cases, the value of the liability recognized in the financial statements reflects the probability that these benefits will be paid and the length of time for which they will be paid. The liability owed under this plan is recognized at its actuarial value using the projected unit credit method. In this case, the Corridor Method is not applied to any resulting actuarial gains or losses. </w:t>
      </w:r>
    </w:p>
    <w:p w:rsidR="00274471" w:rsidRDefault="00274471" w:rsidP="009072DB">
      <w:pPr>
        <w:spacing w:before="240" w:line="240" w:lineRule="atLeast"/>
        <w:ind w:right="-54"/>
        <w:jc w:val="both"/>
        <w:rPr>
          <w:sz w:val="23"/>
          <w:szCs w:val="23"/>
          <w:lang w:val="en-US"/>
        </w:rPr>
      </w:pPr>
    </w:p>
    <w:p w:rsidR="00274471" w:rsidRDefault="00274471" w:rsidP="009072DB">
      <w:pPr>
        <w:spacing w:before="240" w:line="240" w:lineRule="atLeast"/>
        <w:ind w:right="-54"/>
        <w:jc w:val="both"/>
        <w:rPr>
          <w:sz w:val="23"/>
          <w:szCs w:val="23"/>
          <w:lang w:val="en-US"/>
        </w:rPr>
      </w:pPr>
    </w:p>
    <w:p w:rsidR="00274471" w:rsidRDefault="00274471" w:rsidP="009072DB">
      <w:pPr>
        <w:spacing w:before="240" w:line="240" w:lineRule="atLeast"/>
        <w:ind w:right="-54"/>
        <w:jc w:val="both"/>
        <w:rPr>
          <w:sz w:val="23"/>
          <w:szCs w:val="23"/>
          <w:lang w:val="en-US"/>
        </w:rPr>
      </w:pPr>
    </w:p>
    <w:p w:rsidR="00274471" w:rsidRPr="009C238A" w:rsidRDefault="00274471" w:rsidP="009072DB">
      <w:pPr>
        <w:spacing w:before="240" w:line="240" w:lineRule="atLeast"/>
        <w:ind w:right="-54"/>
        <w:jc w:val="both"/>
        <w:rPr>
          <w:sz w:val="23"/>
          <w:szCs w:val="23"/>
          <w:lang w:val="en-US"/>
        </w:rPr>
      </w:pPr>
    </w:p>
    <w:p w:rsidR="009072DB" w:rsidRPr="009C238A" w:rsidRDefault="009072DB" w:rsidP="009072DB">
      <w:pPr>
        <w:jc w:val="both"/>
        <w:rPr>
          <w:lang w:val="en-US"/>
        </w:rPr>
      </w:pPr>
    </w:p>
    <w:p w:rsidR="00B00F7D" w:rsidRDefault="00B00F7D" w:rsidP="009072DB">
      <w:pPr>
        <w:jc w:val="both"/>
        <w:rPr>
          <w:sz w:val="23"/>
          <w:szCs w:val="23"/>
          <w:lang w:val="en-US"/>
        </w:rPr>
      </w:pPr>
    </w:p>
    <w:p w:rsidR="009072DB" w:rsidRPr="009C238A" w:rsidRDefault="009072DB" w:rsidP="009072DB">
      <w:pPr>
        <w:jc w:val="both"/>
        <w:rPr>
          <w:sz w:val="23"/>
          <w:szCs w:val="23"/>
          <w:lang w:val="en-US"/>
        </w:rPr>
      </w:pPr>
      <w:r w:rsidRPr="009C238A">
        <w:rPr>
          <w:sz w:val="23"/>
          <w:szCs w:val="23"/>
          <w:lang w:val="en-US"/>
        </w:rPr>
        <w:t>The table that follows summarizes the Group’s main employee benefit plans that are currently in effect:</w:t>
      </w:r>
    </w:p>
    <w:p w:rsidR="009072DB" w:rsidRPr="009C238A" w:rsidRDefault="009072DB" w:rsidP="009072DB">
      <w:pPr>
        <w:spacing w:before="240" w:line="240" w:lineRule="atLeast"/>
        <w:ind w:right="-54"/>
        <w:jc w:val="both"/>
        <w:rPr>
          <w:lang w:val="en-US"/>
        </w:rPr>
      </w:pPr>
    </w:p>
    <w:tbl>
      <w:tblPr>
        <w:tblW w:w="5000" w:type="pct"/>
        <w:tblCellMar>
          <w:left w:w="70" w:type="dxa"/>
          <w:right w:w="70" w:type="dxa"/>
        </w:tblCellMar>
        <w:tblLook w:val="04A0"/>
      </w:tblPr>
      <w:tblGrid>
        <w:gridCol w:w="4451"/>
        <w:gridCol w:w="1990"/>
        <w:gridCol w:w="1691"/>
        <w:gridCol w:w="1640"/>
      </w:tblGrid>
      <w:tr w:rsidR="009072DB" w:rsidRPr="009C238A" w:rsidTr="009072DB">
        <w:trPr>
          <w:trHeight w:val="255"/>
        </w:trPr>
        <w:tc>
          <w:tcPr>
            <w:tcW w:w="2277"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16"/>
                <w:szCs w:val="16"/>
                <w:lang w:val="en-US"/>
              </w:rPr>
            </w:pPr>
            <w:r w:rsidRPr="009C238A">
              <w:rPr>
                <w:i/>
                <w:iCs/>
                <w:sz w:val="16"/>
                <w:szCs w:val="16"/>
                <w:lang w:val="en-US"/>
              </w:rPr>
              <w:t>(in thousands of euros)</w:t>
            </w:r>
          </w:p>
        </w:tc>
        <w:tc>
          <w:tcPr>
            <w:tcW w:w="1018"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865"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12/31/2012</w:t>
            </w:r>
          </w:p>
        </w:tc>
        <w:tc>
          <w:tcPr>
            <w:tcW w:w="839"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Change </w:t>
            </w: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Employee benefits</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39"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sz w:val="20"/>
                <w:szCs w:val="20"/>
                <w:lang w:val="en-US"/>
              </w:rPr>
              <w:t>provided in:</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39"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Italy</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6,588 </w:t>
            </w: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6,352 </w:t>
            </w: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236 </w:t>
            </w: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Germany</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15,828 </w:t>
            </w: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15,613 </w:t>
            </w: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215 </w:t>
            </w: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Sweden</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3,415 </w:t>
            </w: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3,380 </w:t>
            </w: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35 </w:t>
            </w: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Other</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519 </w:t>
            </w: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457 </w:t>
            </w: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62 </w:t>
            </w:r>
          </w:p>
        </w:tc>
      </w:tr>
      <w:tr w:rsidR="009072DB" w:rsidRPr="009C238A" w:rsidTr="009072DB">
        <w:trPr>
          <w:trHeight w:val="270"/>
        </w:trPr>
        <w:tc>
          <w:tcPr>
            <w:tcW w:w="2277"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sz w:val="20"/>
                <w:szCs w:val="20"/>
                <w:lang w:val="en-US"/>
              </w:rPr>
              <w:t> </w:t>
            </w:r>
          </w:p>
        </w:tc>
        <w:tc>
          <w:tcPr>
            <w:tcW w:w="1018"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sz w:val="20"/>
                <w:szCs w:val="20"/>
                <w:lang w:val="en-US"/>
              </w:rPr>
              <w:t xml:space="preserve">                         26,350 </w:t>
            </w:r>
          </w:p>
        </w:tc>
        <w:tc>
          <w:tcPr>
            <w:tcW w:w="865"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sz w:val="20"/>
                <w:szCs w:val="20"/>
                <w:lang w:val="en-US"/>
              </w:rPr>
              <w:t xml:space="preserve">                  25,802 </w:t>
            </w:r>
          </w:p>
        </w:tc>
        <w:tc>
          <w:tcPr>
            <w:tcW w:w="839" w:type="pct"/>
            <w:tcBorders>
              <w:top w:val="single" w:sz="4" w:space="0" w:color="auto"/>
              <w:left w:val="nil"/>
              <w:bottom w:val="double" w:sz="6"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548 </w:t>
            </w:r>
          </w:p>
        </w:tc>
      </w:tr>
      <w:tr w:rsidR="009072DB" w:rsidRPr="009C238A" w:rsidTr="009072DB">
        <w:trPr>
          <w:trHeight w:val="270"/>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sz w:val="20"/>
                <w:szCs w:val="20"/>
                <w:lang w:val="en-US"/>
              </w:rPr>
              <w:t>Broken</w:t>
            </w:r>
            <w:r w:rsidR="00866117">
              <w:rPr>
                <w:i/>
                <w:iCs/>
                <w:sz w:val="20"/>
                <w:szCs w:val="20"/>
                <w:lang w:val="en-US"/>
              </w:rPr>
              <w:t xml:space="preserve"> </w:t>
            </w:r>
            <w:r w:rsidRPr="009C238A">
              <w:rPr>
                <w:i/>
                <w:iCs/>
                <w:sz w:val="20"/>
                <w:szCs w:val="20"/>
                <w:lang w:val="en-US"/>
              </w:rPr>
              <w:t>down as follows</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Defined-benefits plans</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Provision for employee severance indemnities</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sz w:val="20"/>
                <w:szCs w:val="20"/>
                <w:lang w:val="en-US"/>
              </w:rPr>
              <w:t xml:space="preserve">                          5,318 </w:t>
            </w: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sz w:val="20"/>
                <w:szCs w:val="20"/>
                <w:lang w:val="en-US"/>
              </w:rPr>
              <w:t xml:space="preserve">                    5,167 </w:t>
            </w: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 xml:space="preserve">                       151 </w:t>
            </w: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Other defined-benefit plans</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sz w:val="20"/>
                <w:szCs w:val="20"/>
                <w:lang w:val="en-US"/>
              </w:rPr>
              <w:t xml:space="preserve">                        19,243 </w:t>
            </w: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i/>
                <w:iCs/>
                <w:sz w:val="20"/>
                <w:szCs w:val="20"/>
                <w:lang w:val="en-US"/>
              </w:rPr>
            </w:pPr>
            <w:r w:rsidRPr="009C238A">
              <w:rPr>
                <w:i/>
                <w:iCs/>
                <w:sz w:val="20"/>
                <w:szCs w:val="20"/>
                <w:lang w:val="en-US"/>
              </w:rPr>
              <w:t xml:space="preserve">                  18,993 </w:t>
            </w: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r w:rsidRPr="009C238A">
              <w:rPr>
                <w:i/>
                <w:iCs/>
                <w:sz w:val="20"/>
                <w:szCs w:val="20"/>
                <w:lang w:val="en-US"/>
              </w:rPr>
              <w:t xml:space="preserve">                       250 </w:t>
            </w: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1018" w:type="pct"/>
            <w:tcBorders>
              <w:top w:val="single" w:sz="4" w:space="0" w:color="auto"/>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24,561 </w:t>
            </w:r>
          </w:p>
        </w:tc>
        <w:tc>
          <w:tcPr>
            <w:tcW w:w="865" w:type="pct"/>
            <w:tcBorders>
              <w:top w:val="single" w:sz="4" w:space="0" w:color="auto"/>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24,160 </w:t>
            </w:r>
          </w:p>
        </w:tc>
        <w:tc>
          <w:tcPr>
            <w:tcW w:w="839" w:type="pct"/>
            <w:tcBorders>
              <w:top w:val="single" w:sz="4" w:space="0" w:color="auto"/>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401 </w:t>
            </w: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jc w:val="right"/>
              <w:rPr>
                <w:i/>
                <w:iCs/>
                <w:sz w:val="20"/>
                <w:szCs w:val="20"/>
                <w:lang w:val="en-US"/>
              </w:rPr>
            </w:pP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Other long-term benefits</w:t>
            </w: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1,789 </w:t>
            </w: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sz w:val="20"/>
                <w:szCs w:val="20"/>
                <w:lang w:val="en-US"/>
              </w:rPr>
              <w:t xml:space="preserve">                      1,642 </w:t>
            </w: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147 </w:t>
            </w:r>
          </w:p>
        </w:tc>
      </w:tr>
      <w:tr w:rsidR="009072DB" w:rsidRPr="009C238A" w:rsidTr="009072DB">
        <w:trPr>
          <w:trHeight w:val="255"/>
        </w:trPr>
        <w:tc>
          <w:tcPr>
            <w:tcW w:w="2277"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1018"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65"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p>
        </w:tc>
        <w:tc>
          <w:tcPr>
            <w:tcW w:w="83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p>
        </w:tc>
      </w:tr>
      <w:tr w:rsidR="009072DB" w:rsidRPr="009C238A" w:rsidTr="009072DB">
        <w:trPr>
          <w:trHeight w:val="255"/>
        </w:trPr>
        <w:tc>
          <w:tcPr>
            <w:tcW w:w="2277"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sz w:val="20"/>
                <w:szCs w:val="20"/>
                <w:lang w:val="en-US"/>
              </w:rPr>
              <w:t>Total employee benefits</w:t>
            </w:r>
          </w:p>
        </w:tc>
        <w:tc>
          <w:tcPr>
            <w:tcW w:w="1018"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sz w:val="20"/>
                <w:szCs w:val="20"/>
                <w:lang w:val="en-US"/>
              </w:rPr>
              <w:t xml:space="preserve">                         26,350 </w:t>
            </w:r>
          </w:p>
        </w:tc>
        <w:tc>
          <w:tcPr>
            <w:tcW w:w="865"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sz w:val="20"/>
                <w:szCs w:val="20"/>
                <w:lang w:val="en-US"/>
              </w:rPr>
              <w:t xml:space="preserve">                  25,802 </w:t>
            </w:r>
          </w:p>
        </w:tc>
        <w:tc>
          <w:tcPr>
            <w:tcW w:w="83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548 </w:t>
            </w:r>
          </w:p>
        </w:tc>
      </w:tr>
    </w:tbl>
    <w:p w:rsidR="009072DB" w:rsidRPr="009C238A" w:rsidRDefault="009072DB" w:rsidP="009072DB">
      <w:pPr>
        <w:widowControl w:val="0"/>
        <w:autoSpaceDE w:val="0"/>
        <w:autoSpaceDN w:val="0"/>
        <w:adjustRightInd w:val="0"/>
        <w:jc w:val="both"/>
        <w:rPr>
          <w:sz w:val="22"/>
          <w:szCs w:val="22"/>
          <w:lang w:val="en-US"/>
        </w:rPr>
      </w:pPr>
    </w:p>
    <w:p w:rsidR="00DF7228" w:rsidRPr="009C238A" w:rsidRDefault="00DF7228" w:rsidP="009072DB">
      <w:pPr>
        <w:widowControl w:val="0"/>
        <w:autoSpaceDE w:val="0"/>
        <w:autoSpaceDN w:val="0"/>
        <w:adjustRightInd w:val="0"/>
        <w:jc w:val="both"/>
        <w:rPr>
          <w:sz w:val="22"/>
          <w:szCs w:val="22"/>
          <w:lang w:val="en-US"/>
        </w:rPr>
      </w:pPr>
    </w:p>
    <w:p w:rsidR="00DF7228" w:rsidRPr="009C238A" w:rsidRDefault="00DF7228" w:rsidP="009072DB">
      <w:pPr>
        <w:widowControl w:val="0"/>
        <w:autoSpaceDE w:val="0"/>
        <w:autoSpaceDN w:val="0"/>
        <w:adjustRightInd w:val="0"/>
        <w:jc w:val="both"/>
        <w:rPr>
          <w:sz w:val="22"/>
          <w:szCs w:val="22"/>
          <w:lang w:val="en-US"/>
        </w:rPr>
      </w:pPr>
    </w:p>
    <w:p w:rsidR="009072DB" w:rsidRPr="009C238A" w:rsidRDefault="009072DB" w:rsidP="009072DB">
      <w:pPr>
        <w:widowControl w:val="0"/>
        <w:autoSpaceDE w:val="0"/>
        <w:autoSpaceDN w:val="0"/>
        <w:adjustRightInd w:val="0"/>
        <w:jc w:val="both"/>
        <w:rPr>
          <w:lang w:val="en-US"/>
        </w:rPr>
      </w:pPr>
      <w:r w:rsidRPr="009C238A">
        <w:rPr>
          <w:lang w:val="en-US"/>
        </w:rPr>
        <w:t>The table below shows the main changes that occurred in the Group’s employee benefit plans in the first nine months of 2013 (amounts in thousands of euros):</w:t>
      </w:r>
    </w:p>
    <w:p w:rsidR="009072DB" w:rsidRPr="009C238A" w:rsidRDefault="009072DB" w:rsidP="009072DB">
      <w:pPr>
        <w:spacing w:before="240" w:line="240" w:lineRule="atLeast"/>
        <w:ind w:right="-54"/>
        <w:jc w:val="both"/>
        <w:rPr>
          <w:lang w:val="en-US"/>
        </w:rPr>
      </w:pPr>
    </w:p>
    <w:tbl>
      <w:tblPr>
        <w:tblW w:w="5000" w:type="pct"/>
        <w:tblCellMar>
          <w:left w:w="70" w:type="dxa"/>
          <w:right w:w="70" w:type="dxa"/>
        </w:tblCellMar>
        <w:tblLook w:val="04A0"/>
      </w:tblPr>
      <w:tblGrid>
        <w:gridCol w:w="4314"/>
        <w:gridCol w:w="2050"/>
        <w:gridCol w:w="1704"/>
        <w:gridCol w:w="1704"/>
      </w:tblGrid>
      <w:tr w:rsidR="009072DB" w:rsidRPr="009C238A" w:rsidTr="009072DB">
        <w:trPr>
          <w:trHeight w:val="510"/>
        </w:trPr>
        <w:tc>
          <w:tcPr>
            <w:tcW w:w="218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i/>
                <w:iCs/>
                <w:sz w:val="16"/>
                <w:szCs w:val="16"/>
                <w:lang w:val="en-US"/>
              </w:rPr>
            </w:pPr>
            <w:r w:rsidRPr="009C238A">
              <w:rPr>
                <w:i/>
                <w:iCs/>
                <w:color w:val="000000" w:themeColor="text1"/>
                <w:sz w:val="16"/>
                <w:szCs w:val="16"/>
                <w:lang w:val="en-US"/>
              </w:rPr>
              <w:t>(in thousands of euros)</w:t>
            </w:r>
          </w:p>
        </w:tc>
        <w:tc>
          <w:tcPr>
            <w:tcW w:w="1057"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color w:val="000000" w:themeColor="text1"/>
                <w:sz w:val="20"/>
                <w:szCs w:val="20"/>
                <w:lang w:val="en-US"/>
              </w:rPr>
            </w:pPr>
            <w:r w:rsidRPr="009C238A">
              <w:rPr>
                <w:b/>
                <w:bCs/>
                <w:color w:val="000000" w:themeColor="text1"/>
                <w:sz w:val="20"/>
                <w:szCs w:val="20"/>
                <w:lang w:val="en-US"/>
              </w:rPr>
              <w:t>Defined-benefit</w:t>
            </w:r>
          </w:p>
          <w:p w:rsidR="009072DB" w:rsidRPr="009C238A" w:rsidRDefault="009072DB" w:rsidP="009072DB">
            <w:pPr>
              <w:jc w:val="right"/>
              <w:rPr>
                <w:b/>
                <w:bCs/>
                <w:sz w:val="20"/>
                <w:szCs w:val="20"/>
                <w:lang w:val="en-US"/>
              </w:rPr>
            </w:pPr>
            <w:r w:rsidRPr="009C238A">
              <w:rPr>
                <w:b/>
                <w:bCs/>
                <w:color w:val="000000" w:themeColor="text1"/>
                <w:sz w:val="20"/>
                <w:szCs w:val="20"/>
                <w:lang w:val="en-US"/>
              </w:rPr>
              <w:t xml:space="preserve">              plans</w:t>
            </w:r>
          </w:p>
        </w:tc>
        <w:tc>
          <w:tcPr>
            <w:tcW w:w="879"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Other benefits</w:t>
            </w:r>
          </w:p>
        </w:tc>
        <w:tc>
          <w:tcPr>
            <w:tcW w:w="879"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color w:val="000000" w:themeColor="text1"/>
                <w:sz w:val="20"/>
                <w:szCs w:val="20"/>
                <w:lang w:val="en-US"/>
              </w:rPr>
              <w:t>Total employee benefits</w:t>
            </w:r>
          </w:p>
        </w:tc>
      </w:tr>
      <w:tr w:rsidR="009072DB" w:rsidRPr="009C238A" w:rsidTr="009072DB">
        <w:trPr>
          <w:trHeight w:val="255"/>
        </w:trPr>
        <w:tc>
          <w:tcPr>
            <w:tcW w:w="2186" w:type="pct"/>
            <w:tcBorders>
              <w:top w:val="nil"/>
              <w:left w:val="nil"/>
              <w:bottom w:val="single" w:sz="4"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Balance at December 31, 2012</w:t>
            </w:r>
          </w:p>
        </w:tc>
        <w:tc>
          <w:tcPr>
            <w:tcW w:w="1057"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24,160 </w:t>
            </w:r>
          </w:p>
        </w:tc>
        <w:tc>
          <w:tcPr>
            <w:tcW w:w="879"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1,642 </w:t>
            </w:r>
          </w:p>
        </w:tc>
        <w:tc>
          <w:tcPr>
            <w:tcW w:w="879"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25,802 </w:t>
            </w:r>
          </w:p>
        </w:tc>
      </w:tr>
      <w:tr w:rsidR="009072DB" w:rsidRPr="009C238A" w:rsidTr="009072DB">
        <w:trPr>
          <w:trHeight w:val="255"/>
        </w:trPr>
        <w:tc>
          <w:tcPr>
            <w:tcW w:w="2186"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Financial expense/(income)</w:t>
            </w:r>
          </w:p>
        </w:tc>
        <w:tc>
          <w:tcPr>
            <w:tcW w:w="10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559 </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6 </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565 </w:t>
            </w:r>
          </w:p>
        </w:tc>
      </w:tr>
      <w:tr w:rsidR="009072DB" w:rsidRPr="009C238A" w:rsidTr="009072DB">
        <w:trPr>
          <w:trHeight w:val="255"/>
        </w:trPr>
        <w:tc>
          <w:tcPr>
            <w:tcW w:w="2186"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Actuarial losses/(gains)</w:t>
            </w:r>
          </w:p>
        </w:tc>
        <w:tc>
          <w:tcPr>
            <w:tcW w:w="10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 </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80 </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80 </w:t>
            </w:r>
          </w:p>
        </w:tc>
      </w:tr>
      <w:tr w:rsidR="009072DB" w:rsidRPr="009C238A" w:rsidTr="009072DB">
        <w:trPr>
          <w:trHeight w:val="255"/>
        </w:trPr>
        <w:tc>
          <w:tcPr>
            <w:tcW w:w="2186"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Actuarial losses/(gains) recognized directly in equity</w:t>
            </w:r>
          </w:p>
        </w:tc>
        <w:tc>
          <w:tcPr>
            <w:tcW w:w="10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2 </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 </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2 </w:t>
            </w:r>
          </w:p>
        </w:tc>
      </w:tr>
      <w:tr w:rsidR="009072DB" w:rsidRPr="009C238A" w:rsidTr="009072DB">
        <w:trPr>
          <w:trHeight w:val="270"/>
        </w:trPr>
        <w:tc>
          <w:tcPr>
            <w:tcW w:w="2186"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Service costs</w:t>
            </w:r>
            <w:r w:rsidR="00B00F7D">
              <w:rPr>
                <w:color w:val="000000" w:themeColor="text1"/>
                <w:sz w:val="20"/>
                <w:szCs w:val="20"/>
                <w:lang w:val="en-US"/>
              </w:rPr>
              <w:t xml:space="preserve"> for employee benefits</w:t>
            </w:r>
          </w:p>
        </w:tc>
        <w:tc>
          <w:tcPr>
            <w:tcW w:w="10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463 </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132 </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595 </w:t>
            </w:r>
          </w:p>
        </w:tc>
      </w:tr>
      <w:tr w:rsidR="009072DB" w:rsidRPr="009C238A" w:rsidTr="009072DB">
        <w:trPr>
          <w:trHeight w:val="330"/>
        </w:trPr>
        <w:tc>
          <w:tcPr>
            <w:tcW w:w="2186"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Contribution/benefits paid</w:t>
            </w:r>
          </w:p>
        </w:tc>
        <w:tc>
          <w:tcPr>
            <w:tcW w:w="10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(581)</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(70)</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(651)</w:t>
            </w:r>
          </w:p>
        </w:tc>
      </w:tr>
      <w:tr w:rsidR="009072DB" w:rsidRPr="009C238A" w:rsidTr="009072DB">
        <w:trPr>
          <w:trHeight w:val="255"/>
        </w:trPr>
        <w:tc>
          <w:tcPr>
            <w:tcW w:w="2186" w:type="pct"/>
            <w:tcBorders>
              <w:top w:val="nil"/>
              <w:left w:val="nil"/>
              <w:bottom w:val="nil"/>
              <w:right w:val="nil"/>
            </w:tcBorders>
            <w:shd w:val="clear" w:color="auto" w:fill="auto"/>
            <w:noWrap/>
            <w:vAlign w:val="center"/>
            <w:hideMark/>
          </w:tcPr>
          <w:p w:rsidR="009072DB" w:rsidRPr="009C238A" w:rsidRDefault="009072DB" w:rsidP="009072DB">
            <w:pPr>
              <w:rPr>
                <w:sz w:val="20"/>
                <w:szCs w:val="20"/>
                <w:lang w:val="en-US"/>
              </w:rPr>
            </w:pPr>
            <w:r w:rsidRPr="009C238A">
              <w:rPr>
                <w:color w:val="000000" w:themeColor="text1"/>
                <w:sz w:val="20"/>
                <w:szCs w:val="20"/>
                <w:lang w:val="en-US"/>
              </w:rPr>
              <w:t>Currency translation differences and other charges</w:t>
            </w:r>
          </w:p>
        </w:tc>
        <w:tc>
          <w:tcPr>
            <w:tcW w:w="1057"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(42)</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(1)</w:t>
            </w:r>
          </w:p>
        </w:tc>
        <w:tc>
          <w:tcPr>
            <w:tcW w:w="879" w:type="pct"/>
            <w:tcBorders>
              <w:top w:val="nil"/>
              <w:left w:val="nil"/>
              <w:bottom w:val="nil"/>
              <w:right w:val="nil"/>
            </w:tcBorders>
            <w:shd w:val="clear" w:color="auto" w:fill="auto"/>
            <w:noWrap/>
            <w:vAlign w:val="center"/>
            <w:hideMark/>
          </w:tcPr>
          <w:p w:rsidR="009072DB" w:rsidRPr="009C238A" w:rsidRDefault="009072DB" w:rsidP="009072DB">
            <w:pPr>
              <w:jc w:val="right"/>
              <w:rPr>
                <w:sz w:val="20"/>
                <w:szCs w:val="20"/>
                <w:lang w:val="en-US"/>
              </w:rPr>
            </w:pPr>
            <w:r w:rsidRPr="009C238A">
              <w:rPr>
                <w:sz w:val="20"/>
                <w:szCs w:val="20"/>
                <w:lang w:val="en-US"/>
              </w:rPr>
              <w:t xml:space="preserve">                         (43)</w:t>
            </w:r>
          </w:p>
        </w:tc>
      </w:tr>
      <w:tr w:rsidR="009072DB" w:rsidRPr="009C238A" w:rsidTr="009072DB">
        <w:trPr>
          <w:trHeight w:val="255"/>
        </w:trPr>
        <w:tc>
          <w:tcPr>
            <w:tcW w:w="2186"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rPr>
                <w:b/>
                <w:bCs/>
                <w:sz w:val="20"/>
                <w:szCs w:val="20"/>
                <w:lang w:val="en-US"/>
              </w:rPr>
            </w:pPr>
            <w:r w:rsidRPr="009C238A">
              <w:rPr>
                <w:b/>
                <w:bCs/>
                <w:color w:val="000000" w:themeColor="text1"/>
                <w:sz w:val="20"/>
                <w:szCs w:val="20"/>
                <w:lang w:val="en-US"/>
              </w:rPr>
              <w:t>Balance at September 30, 2013</w:t>
            </w:r>
          </w:p>
        </w:tc>
        <w:tc>
          <w:tcPr>
            <w:tcW w:w="1057"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24,561 </w:t>
            </w:r>
          </w:p>
        </w:tc>
        <w:tc>
          <w:tcPr>
            <w:tcW w:w="87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1,789 </w:t>
            </w:r>
          </w:p>
        </w:tc>
        <w:tc>
          <w:tcPr>
            <w:tcW w:w="879" w:type="pct"/>
            <w:tcBorders>
              <w:top w:val="single" w:sz="4" w:space="0" w:color="auto"/>
              <w:left w:val="nil"/>
              <w:bottom w:val="single" w:sz="4" w:space="0" w:color="auto"/>
              <w:right w:val="nil"/>
            </w:tcBorders>
            <w:shd w:val="clear" w:color="auto" w:fill="auto"/>
            <w:noWrap/>
            <w:vAlign w:val="center"/>
            <w:hideMark/>
          </w:tcPr>
          <w:p w:rsidR="009072DB" w:rsidRPr="009C238A" w:rsidRDefault="009072DB" w:rsidP="009072DB">
            <w:pPr>
              <w:jc w:val="right"/>
              <w:rPr>
                <w:b/>
                <w:bCs/>
                <w:sz w:val="20"/>
                <w:szCs w:val="20"/>
                <w:lang w:val="en-US"/>
              </w:rPr>
            </w:pPr>
            <w:r w:rsidRPr="009C238A">
              <w:rPr>
                <w:b/>
                <w:bCs/>
                <w:sz w:val="20"/>
                <w:szCs w:val="20"/>
                <w:lang w:val="en-US"/>
              </w:rPr>
              <w:t xml:space="preserve">                  26,350 </w:t>
            </w:r>
          </w:p>
        </w:tc>
      </w:tr>
    </w:tbl>
    <w:p w:rsidR="009072DB" w:rsidRPr="009C238A" w:rsidRDefault="009072DB" w:rsidP="009072DB">
      <w:pPr>
        <w:jc w:val="both"/>
        <w:rPr>
          <w:sz w:val="22"/>
          <w:highlight w:val="yellow"/>
          <w:lang w:val="en-US"/>
        </w:rPr>
      </w:pPr>
    </w:p>
    <w:p w:rsidR="009072DB" w:rsidRPr="009C238A" w:rsidRDefault="009072DB" w:rsidP="009072DB">
      <w:pPr>
        <w:jc w:val="both"/>
        <w:rPr>
          <w:sz w:val="22"/>
          <w:highlight w:val="yellow"/>
          <w:lang w:val="en-US"/>
        </w:rPr>
      </w:pPr>
    </w:p>
    <w:p w:rsidR="0078394A" w:rsidRPr="009C238A" w:rsidRDefault="0078394A" w:rsidP="009072DB">
      <w:pPr>
        <w:jc w:val="both"/>
        <w:rPr>
          <w:sz w:val="22"/>
          <w:highlight w:val="yellow"/>
          <w:lang w:val="en-US"/>
        </w:rPr>
      </w:pPr>
    </w:p>
    <w:p w:rsidR="0078394A" w:rsidRPr="009C238A" w:rsidRDefault="0078394A" w:rsidP="009072DB">
      <w:pPr>
        <w:jc w:val="both"/>
        <w:rPr>
          <w:sz w:val="22"/>
          <w:highlight w:val="yellow"/>
          <w:lang w:val="en-US"/>
        </w:rPr>
      </w:pPr>
    </w:p>
    <w:p w:rsidR="0078394A" w:rsidRPr="009C238A" w:rsidRDefault="0078394A" w:rsidP="009072DB">
      <w:pPr>
        <w:jc w:val="both"/>
        <w:rPr>
          <w:sz w:val="22"/>
          <w:highlight w:val="yellow"/>
          <w:lang w:val="en-US"/>
        </w:rPr>
      </w:pPr>
    </w:p>
    <w:p w:rsidR="0078394A" w:rsidRPr="009C238A" w:rsidRDefault="0078394A" w:rsidP="009072DB">
      <w:pPr>
        <w:jc w:val="both"/>
        <w:rPr>
          <w:sz w:val="22"/>
          <w:highlight w:val="yellow"/>
          <w:lang w:val="en-US"/>
        </w:rPr>
      </w:pPr>
    </w:p>
    <w:p w:rsidR="0078394A" w:rsidRPr="009C238A" w:rsidRDefault="0078394A" w:rsidP="009072DB">
      <w:pPr>
        <w:jc w:val="both"/>
        <w:rPr>
          <w:sz w:val="22"/>
          <w:highlight w:val="yellow"/>
          <w:lang w:val="en-US"/>
        </w:rPr>
      </w:pPr>
    </w:p>
    <w:p w:rsidR="0078394A" w:rsidRPr="009C238A" w:rsidRDefault="0078394A" w:rsidP="009072DB">
      <w:pPr>
        <w:jc w:val="both"/>
        <w:rPr>
          <w:sz w:val="22"/>
          <w:highlight w:val="yellow"/>
          <w:lang w:val="en-US"/>
        </w:rPr>
      </w:pPr>
    </w:p>
    <w:p w:rsidR="0078394A" w:rsidRPr="009C238A" w:rsidRDefault="0078394A" w:rsidP="009072DB">
      <w:pPr>
        <w:jc w:val="both"/>
        <w:rPr>
          <w:sz w:val="22"/>
          <w:highlight w:val="yellow"/>
          <w:lang w:val="en-US"/>
        </w:rPr>
      </w:pPr>
    </w:p>
    <w:p w:rsidR="0078394A" w:rsidRPr="009C238A" w:rsidRDefault="0078394A" w:rsidP="009072DB">
      <w:pPr>
        <w:jc w:val="both"/>
        <w:rPr>
          <w:sz w:val="22"/>
          <w:highlight w:val="yellow"/>
          <w:lang w:val="en-US"/>
        </w:rPr>
      </w:pPr>
    </w:p>
    <w:p w:rsidR="0078394A" w:rsidRDefault="0078394A" w:rsidP="009072DB">
      <w:pPr>
        <w:jc w:val="both"/>
        <w:rPr>
          <w:sz w:val="22"/>
          <w:highlight w:val="yellow"/>
          <w:lang w:val="en-US"/>
        </w:rPr>
      </w:pPr>
    </w:p>
    <w:p w:rsidR="00274471" w:rsidRPr="009C238A" w:rsidRDefault="00274471" w:rsidP="009072DB">
      <w:pPr>
        <w:jc w:val="both"/>
        <w:rPr>
          <w:sz w:val="22"/>
          <w:highlight w:val="yellow"/>
          <w:lang w:val="en-US"/>
        </w:rPr>
      </w:pPr>
    </w:p>
    <w:p w:rsidR="0078394A" w:rsidRPr="009C238A" w:rsidRDefault="0078394A" w:rsidP="009072DB">
      <w:pPr>
        <w:jc w:val="both"/>
        <w:rPr>
          <w:sz w:val="22"/>
          <w:highlight w:val="yellow"/>
          <w:lang w:val="en-US"/>
        </w:rPr>
      </w:pPr>
    </w:p>
    <w:p w:rsidR="009072DB" w:rsidRPr="009C238A" w:rsidRDefault="009072DB" w:rsidP="009072DB">
      <w:pPr>
        <w:pStyle w:val="Intestazione"/>
        <w:tabs>
          <w:tab w:val="clear" w:pos="4819"/>
          <w:tab w:val="left" w:pos="240"/>
          <w:tab w:val="center" w:pos="1843"/>
        </w:tabs>
        <w:jc w:val="both"/>
        <w:rPr>
          <w:b/>
          <w:bCs/>
          <w:color w:val="000000" w:themeColor="text1"/>
          <w:lang w:val="en-US"/>
        </w:rPr>
      </w:pPr>
      <w:r w:rsidRPr="009C238A">
        <w:rPr>
          <w:b/>
          <w:lang w:val="en-US"/>
        </w:rPr>
        <w:t xml:space="preserve">(22) </w:t>
      </w:r>
      <w:r w:rsidRPr="009C238A">
        <w:rPr>
          <w:b/>
          <w:bCs/>
          <w:color w:val="000000" w:themeColor="text1"/>
          <w:lang w:val="en-US"/>
        </w:rPr>
        <w:t>Other non-current liabilities</w:t>
      </w:r>
    </w:p>
    <w:p w:rsidR="009072DB" w:rsidRPr="009C238A" w:rsidRDefault="009072DB" w:rsidP="009072DB">
      <w:pPr>
        <w:pStyle w:val="Intestazione"/>
        <w:tabs>
          <w:tab w:val="clear" w:pos="4819"/>
          <w:tab w:val="left" w:pos="240"/>
          <w:tab w:val="center" w:pos="1843"/>
        </w:tabs>
        <w:jc w:val="both"/>
        <w:rPr>
          <w:b/>
          <w:bCs/>
          <w:color w:val="000000" w:themeColor="text1"/>
          <w:lang w:val="en-US"/>
        </w:rPr>
      </w:pPr>
    </w:p>
    <w:p w:rsidR="009072DB" w:rsidRPr="009C238A" w:rsidRDefault="009072DB" w:rsidP="009072DB">
      <w:pPr>
        <w:pStyle w:val="Paragrafoelenco1"/>
        <w:ind w:left="0" w:right="27"/>
        <w:jc w:val="both"/>
        <w:rPr>
          <w:rFonts w:ascii="Times New Roman" w:hAnsi="Times New Roman"/>
          <w:color w:val="000000" w:themeColor="text1"/>
          <w:szCs w:val="24"/>
          <w:lang w:val="en-US"/>
        </w:rPr>
      </w:pPr>
      <w:r w:rsidRPr="009C238A">
        <w:rPr>
          <w:rFonts w:ascii="Times New Roman" w:hAnsi="Times New Roman"/>
          <w:color w:val="000000" w:themeColor="text1"/>
          <w:szCs w:val="24"/>
          <w:lang w:val="en-US"/>
        </w:rPr>
        <w:t xml:space="preserve">Other non-current liabilities, which totaled </w:t>
      </w:r>
      <w:r w:rsidRPr="009C238A">
        <w:rPr>
          <w:rFonts w:ascii="Times New Roman" w:hAnsi="Times New Roman"/>
          <w:szCs w:val="24"/>
          <w:lang w:val="en-US"/>
        </w:rPr>
        <w:t>3,878</w:t>
      </w:r>
      <w:r w:rsidRPr="009C238A">
        <w:rPr>
          <w:szCs w:val="24"/>
          <w:lang w:val="en-US"/>
        </w:rPr>
        <w:t xml:space="preserve"> </w:t>
      </w:r>
      <w:r w:rsidRPr="009C238A">
        <w:rPr>
          <w:rFonts w:ascii="Times New Roman" w:hAnsi="Times New Roman"/>
          <w:color w:val="000000" w:themeColor="text1"/>
          <w:szCs w:val="24"/>
          <w:lang w:val="en-US"/>
        </w:rPr>
        <w:t>thousand euros at September 30, 2013, consist mainly of provisions for risks and charges. The table that follows shows the changes that occurred in these provisions:</w:t>
      </w:r>
    </w:p>
    <w:p w:rsidR="009072DB" w:rsidRPr="009C238A" w:rsidRDefault="009072DB" w:rsidP="009072DB">
      <w:pPr>
        <w:spacing w:before="240" w:line="240" w:lineRule="atLeast"/>
        <w:ind w:right="-54"/>
        <w:jc w:val="both"/>
        <w:rPr>
          <w:lang w:val="en-US"/>
        </w:rPr>
      </w:pPr>
    </w:p>
    <w:tbl>
      <w:tblPr>
        <w:tblW w:w="5000" w:type="pct"/>
        <w:tblCellMar>
          <w:left w:w="70" w:type="dxa"/>
          <w:right w:w="70" w:type="dxa"/>
        </w:tblCellMar>
        <w:tblLook w:val="04A0"/>
      </w:tblPr>
      <w:tblGrid>
        <w:gridCol w:w="4558"/>
        <w:gridCol w:w="2607"/>
        <w:gridCol w:w="2607"/>
      </w:tblGrid>
      <w:tr w:rsidR="009072DB" w:rsidRPr="009C238A" w:rsidTr="009072DB">
        <w:trPr>
          <w:trHeight w:val="300"/>
        </w:trPr>
        <w:tc>
          <w:tcPr>
            <w:tcW w:w="2332"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both"/>
              <w:rPr>
                <w:i/>
                <w:iCs/>
                <w:sz w:val="20"/>
                <w:szCs w:val="20"/>
                <w:lang w:val="en-US"/>
              </w:rPr>
            </w:pPr>
            <w:r w:rsidRPr="009C238A">
              <w:rPr>
                <w:i/>
                <w:iCs/>
                <w:color w:val="000000" w:themeColor="text1"/>
                <w:sz w:val="20"/>
                <w:szCs w:val="20"/>
                <w:lang w:val="en-US"/>
              </w:rPr>
              <w:t>(in thousands of euros)</w:t>
            </w:r>
          </w:p>
        </w:tc>
        <w:tc>
          <w:tcPr>
            <w:tcW w:w="133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9/30/2013</w:t>
            </w:r>
          </w:p>
        </w:tc>
        <w:tc>
          <w:tcPr>
            <w:tcW w:w="133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12/31/2012</w:t>
            </w:r>
          </w:p>
        </w:tc>
      </w:tr>
      <w:tr w:rsidR="009072DB" w:rsidRPr="009C238A" w:rsidTr="009072DB">
        <w:trPr>
          <w:trHeight w:val="300"/>
        </w:trPr>
        <w:tc>
          <w:tcPr>
            <w:tcW w:w="2332" w:type="pct"/>
            <w:tcBorders>
              <w:top w:val="nil"/>
              <w:left w:val="nil"/>
              <w:bottom w:val="single" w:sz="4" w:space="0" w:color="auto"/>
              <w:right w:val="nil"/>
            </w:tcBorders>
            <w:shd w:val="clear" w:color="auto" w:fill="auto"/>
            <w:vAlign w:val="center"/>
            <w:hideMark/>
          </w:tcPr>
          <w:p w:rsidR="009072DB" w:rsidRPr="009C238A" w:rsidRDefault="009072DB" w:rsidP="009072DB">
            <w:pPr>
              <w:jc w:val="both"/>
              <w:rPr>
                <w:b/>
                <w:bCs/>
                <w:sz w:val="20"/>
                <w:szCs w:val="20"/>
                <w:lang w:val="en-US"/>
              </w:rPr>
            </w:pPr>
            <w:r w:rsidRPr="009C238A">
              <w:rPr>
                <w:b/>
                <w:bCs/>
                <w:color w:val="000000" w:themeColor="text1"/>
                <w:sz w:val="20"/>
                <w:szCs w:val="20"/>
                <w:lang w:val="en-US"/>
              </w:rPr>
              <w:t>Opening balance</w:t>
            </w:r>
          </w:p>
        </w:tc>
        <w:tc>
          <w:tcPr>
            <w:tcW w:w="1334"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3,417</w:t>
            </w:r>
          </w:p>
        </w:tc>
        <w:tc>
          <w:tcPr>
            <w:tcW w:w="1334"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4,165</w:t>
            </w:r>
          </w:p>
        </w:tc>
      </w:tr>
      <w:tr w:rsidR="009072DB" w:rsidRPr="009C238A" w:rsidTr="009072DB">
        <w:trPr>
          <w:trHeight w:val="300"/>
        </w:trPr>
        <w:tc>
          <w:tcPr>
            <w:tcW w:w="2332" w:type="pct"/>
            <w:tcBorders>
              <w:top w:val="nil"/>
              <w:left w:val="nil"/>
              <w:bottom w:val="nil"/>
              <w:right w:val="nil"/>
            </w:tcBorders>
            <w:shd w:val="clear" w:color="auto" w:fill="auto"/>
            <w:vAlign w:val="center"/>
            <w:hideMark/>
          </w:tcPr>
          <w:p w:rsidR="009072DB" w:rsidRPr="009C238A" w:rsidRDefault="009072DB" w:rsidP="009072DB">
            <w:pPr>
              <w:jc w:val="both"/>
              <w:rPr>
                <w:sz w:val="20"/>
                <w:szCs w:val="20"/>
                <w:lang w:val="en-US"/>
              </w:rPr>
            </w:pPr>
            <w:r w:rsidRPr="009C238A">
              <w:rPr>
                <w:color w:val="000000" w:themeColor="text1"/>
                <w:sz w:val="20"/>
                <w:szCs w:val="20"/>
                <w:lang w:val="en-US"/>
              </w:rPr>
              <w:t>Addition for the period</w:t>
            </w:r>
          </w:p>
        </w:tc>
        <w:tc>
          <w:tcPr>
            <w:tcW w:w="133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576</w:t>
            </w:r>
          </w:p>
        </w:tc>
        <w:tc>
          <w:tcPr>
            <w:tcW w:w="133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190</w:t>
            </w:r>
          </w:p>
        </w:tc>
      </w:tr>
      <w:tr w:rsidR="009072DB" w:rsidRPr="009C238A" w:rsidTr="009072DB">
        <w:trPr>
          <w:trHeight w:val="300"/>
        </w:trPr>
        <w:tc>
          <w:tcPr>
            <w:tcW w:w="2332" w:type="pct"/>
            <w:tcBorders>
              <w:top w:val="nil"/>
              <w:left w:val="nil"/>
              <w:bottom w:val="nil"/>
              <w:right w:val="nil"/>
            </w:tcBorders>
            <w:shd w:val="clear" w:color="auto" w:fill="auto"/>
            <w:vAlign w:val="center"/>
            <w:hideMark/>
          </w:tcPr>
          <w:p w:rsidR="009072DB" w:rsidRPr="009C238A" w:rsidRDefault="009072DB" w:rsidP="009072DB">
            <w:pPr>
              <w:jc w:val="both"/>
              <w:rPr>
                <w:sz w:val="20"/>
                <w:szCs w:val="20"/>
                <w:lang w:val="en-US"/>
              </w:rPr>
            </w:pPr>
            <w:r w:rsidRPr="009C238A">
              <w:rPr>
                <w:color w:val="000000" w:themeColor="text1"/>
                <w:sz w:val="20"/>
                <w:szCs w:val="20"/>
                <w:lang w:val="en-US"/>
              </w:rPr>
              <w:t>Utilizations for the period</w:t>
            </w:r>
          </w:p>
        </w:tc>
        <w:tc>
          <w:tcPr>
            <w:tcW w:w="133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33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(27)</w:t>
            </w:r>
          </w:p>
        </w:tc>
      </w:tr>
      <w:tr w:rsidR="009072DB" w:rsidRPr="009C238A" w:rsidTr="009072DB">
        <w:trPr>
          <w:trHeight w:val="300"/>
        </w:trPr>
        <w:tc>
          <w:tcPr>
            <w:tcW w:w="2332" w:type="pct"/>
            <w:tcBorders>
              <w:top w:val="nil"/>
              <w:left w:val="nil"/>
              <w:bottom w:val="nil"/>
              <w:right w:val="nil"/>
            </w:tcBorders>
            <w:shd w:val="clear" w:color="auto" w:fill="auto"/>
            <w:vAlign w:val="center"/>
            <w:hideMark/>
          </w:tcPr>
          <w:p w:rsidR="009072DB" w:rsidRPr="009C238A" w:rsidRDefault="009072DB" w:rsidP="009072DB">
            <w:pPr>
              <w:jc w:val="both"/>
              <w:rPr>
                <w:sz w:val="20"/>
                <w:szCs w:val="20"/>
                <w:lang w:val="en-US"/>
              </w:rPr>
            </w:pPr>
            <w:r w:rsidRPr="009C238A">
              <w:rPr>
                <w:color w:val="000000" w:themeColor="text1"/>
                <w:sz w:val="20"/>
                <w:szCs w:val="20"/>
                <w:lang w:val="en-US"/>
              </w:rPr>
              <w:t>Reversals for the period</w:t>
            </w:r>
          </w:p>
        </w:tc>
        <w:tc>
          <w:tcPr>
            <w:tcW w:w="133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w:t>
            </w:r>
          </w:p>
        </w:tc>
        <w:tc>
          <w:tcPr>
            <w:tcW w:w="133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(793)</w:t>
            </w:r>
          </w:p>
        </w:tc>
      </w:tr>
      <w:tr w:rsidR="009072DB" w:rsidRPr="009C238A" w:rsidTr="009072DB">
        <w:trPr>
          <w:trHeight w:val="300"/>
        </w:trPr>
        <w:tc>
          <w:tcPr>
            <w:tcW w:w="2332" w:type="pct"/>
            <w:tcBorders>
              <w:top w:val="nil"/>
              <w:left w:val="nil"/>
              <w:bottom w:val="nil"/>
              <w:right w:val="nil"/>
            </w:tcBorders>
            <w:shd w:val="clear" w:color="auto" w:fill="auto"/>
            <w:vAlign w:val="center"/>
            <w:hideMark/>
          </w:tcPr>
          <w:p w:rsidR="009072DB" w:rsidRPr="009C238A" w:rsidRDefault="009072DB" w:rsidP="009072DB">
            <w:pPr>
              <w:rPr>
                <w:sz w:val="20"/>
                <w:szCs w:val="20"/>
                <w:lang w:val="en-US"/>
              </w:rPr>
            </w:pPr>
            <w:r w:rsidRPr="009C238A">
              <w:rPr>
                <w:color w:val="000000" w:themeColor="text1"/>
                <w:sz w:val="20"/>
                <w:szCs w:val="20"/>
                <w:lang w:val="en-US"/>
              </w:rPr>
              <w:t>Currency translation differences and other charges</w:t>
            </w:r>
          </w:p>
        </w:tc>
        <w:tc>
          <w:tcPr>
            <w:tcW w:w="133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(115)</w:t>
            </w:r>
          </w:p>
        </w:tc>
        <w:tc>
          <w:tcPr>
            <w:tcW w:w="1334" w:type="pct"/>
            <w:tcBorders>
              <w:top w:val="nil"/>
              <w:left w:val="nil"/>
              <w:bottom w:val="nil"/>
              <w:right w:val="nil"/>
            </w:tcBorders>
            <w:shd w:val="clear" w:color="auto" w:fill="auto"/>
            <w:vAlign w:val="center"/>
            <w:hideMark/>
          </w:tcPr>
          <w:p w:rsidR="009072DB" w:rsidRPr="009C238A" w:rsidRDefault="009072DB" w:rsidP="009072DB">
            <w:pPr>
              <w:jc w:val="right"/>
              <w:rPr>
                <w:sz w:val="20"/>
                <w:szCs w:val="20"/>
                <w:lang w:val="en-US"/>
              </w:rPr>
            </w:pPr>
            <w:r w:rsidRPr="009C238A">
              <w:rPr>
                <w:sz w:val="20"/>
                <w:szCs w:val="20"/>
                <w:lang w:val="en-US"/>
              </w:rPr>
              <w:t>(118)</w:t>
            </w:r>
          </w:p>
        </w:tc>
      </w:tr>
      <w:tr w:rsidR="009072DB" w:rsidRPr="009C238A" w:rsidTr="009072DB">
        <w:trPr>
          <w:trHeight w:val="300"/>
        </w:trPr>
        <w:tc>
          <w:tcPr>
            <w:tcW w:w="2332"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both"/>
              <w:rPr>
                <w:b/>
                <w:bCs/>
                <w:sz w:val="20"/>
                <w:szCs w:val="20"/>
                <w:lang w:val="en-US"/>
              </w:rPr>
            </w:pPr>
            <w:r w:rsidRPr="009C238A">
              <w:rPr>
                <w:b/>
                <w:bCs/>
                <w:color w:val="000000" w:themeColor="text1"/>
                <w:sz w:val="20"/>
                <w:szCs w:val="20"/>
                <w:lang w:val="en-US"/>
              </w:rPr>
              <w:t>Ending balance</w:t>
            </w:r>
          </w:p>
        </w:tc>
        <w:tc>
          <w:tcPr>
            <w:tcW w:w="133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3,878</w:t>
            </w:r>
          </w:p>
        </w:tc>
        <w:tc>
          <w:tcPr>
            <w:tcW w:w="1334" w:type="pct"/>
            <w:tcBorders>
              <w:top w:val="single" w:sz="4" w:space="0" w:color="auto"/>
              <w:left w:val="nil"/>
              <w:bottom w:val="single" w:sz="4" w:space="0" w:color="auto"/>
              <w:right w:val="nil"/>
            </w:tcBorders>
            <w:shd w:val="clear" w:color="auto" w:fill="auto"/>
            <w:vAlign w:val="center"/>
            <w:hideMark/>
          </w:tcPr>
          <w:p w:rsidR="009072DB" w:rsidRPr="009C238A" w:rsidRDefault="009072DB" w:rsidP="009072DB">
            <w:pPr>
              <w:jc w:val="right"/>
              <w:rPr>
                <w:b/>
                <w:bCs/>
                <w:sz w:val="20"/>
                <w:szCs w:val="20"/>
                <w:lang w:val="en-US"/>
              </w:rPr>
            </w:pPr>
            <w:r w:rsidRPr="009C238A">
              <w:rPr>
                <w:b/>
                <w:bCs/>
                <w:sz w:val="20"/>
                <w:szCs w:val="20"/>
                <w:lang w:val="en-US"/>
              </w:rPr>
              <w:t>3,417</w:t>
            </w:r>
          </w:p>
        </w:tc>
      </w:tr>
    </w:tbl>
    <w:p w:rsidR="009072DB" w:rsidRPr="009C238A" w:rsidRDefault="009072DB" w:rsidP="009072DB">
      <w:pPr>
        <w:rPr>
          <w:highlight w:val="yellow"/>
          <w:lang w:val="en-US"/>
        </w:rPr>
      </w:pPr>
    </w:p>
    <w:p w:rsidR="009072DB" w:rsidRPr="009C238A" w:rsidRDefault="009072DB" w:rsidP="009072DB">
      <w:pPr>
        <w:rPr>
          <w:highlight w:val="yellow"/>
          <w:lang w:val="en-US"/>
        </w:rPr>
      </w:pPr>
    </w:p>
    <w:p w:rsidR="009072DB" w:rsidRPr="009C238A" w:rsidRDefault="009072DB" w:rsidP="009072DB">
      <w:pPr>
        <w:pStyle w:val="Intestazione"/>
        <w:tabs>
          <w:tab w:val="clear" w:pos="4819"/>
          <w:tab w:val="left" w:pos="-120"/>
          <w:tab w:val="center" w:pos="1843"/>
        </w:tabs>
        <w:rPr>
          <w:b/>
          <w:color w:val="000000" w:themeColor="text1"/>
          <w:lang w:val="en-US"/>
        </w:rPr>
      </w:pPr>
      <w:r w:rsidRPr="009C238A">
        <w:rPr>
          <w:b/>
          <w:lang w:val="en-US"/>
        </w:rPr>
        <w:t xml:space="preserve">(23) </w:t>
      </w:r>
      <w:r w:rsidRPr="009C238A">
        <w:rPr>
          <w:b/>
          <w:color w:val="000000" w:themeColor="text1"/>
          <w:lang w:val="en-US"/>
        </w:rPr>
        <w:t>Trade payables</w:t>
      </w:r>
    </w:p>
    <w:p w:rsidR="009072DB" w:rsidRPr="009C238A" w:rsidRDefault="009072DB" w:rsidP="009072DB">
      <w:pPr>
        <w:pStyle w:val="Intestazione"/>
        <w:tabs>
          <w:tab w:val="clear" w:pos="4819"/>
          <w:tab w:val="left" w:pos="-120"/>
          <w:tab w:val="center" w:pos="1843"/>
        </w:tabs>
        <w:rPr>
          <w:b/>
          <w:lang w:val="en-US"/>
        </w:rPr>
      </w:pPr>
    </w:p>
    <w:p w:rsidR="009072DB" w:rsidRPr="009C238A" w:rsidRDefault="009072DB" w:rsidP="009072DB">
      <w:pPr>
        <w:pStyle w:val="Paragrafoelenco1"/>
        <w:ind w:left="0" w:right="27"/>
        <w:jc w:val="both"/>
        <w:rPr>
          <w:rFonts w:ascii="Times New Roman" w:hAnsi="Times New Roman"/>
          <w:b/>
          <w:bCs/>
          <w:smallCaps/>
          <w:color w:val="000000" w:themeColor="text1"/>
          <w:szCs w:val="24"/>
          <w:lang w:val="en-US"/>
        </w:rPr>
      </w:pPr>
      <w:r w:rsidRPr="009C238A">
        <w:rPr>
          <w:rFonts w:ascii="Times New Roman" w:hAnsi="Times New Roman"/>
          <w:color w:val="000000" w:themeColor="text1"/>
          <w:szCs w:val="24"/>
          <w:lang w:val="en-US"/>
        </w:rPr>
        <w:t xml:space="preserve">Trade payables, which totaled </w:t>
      </w:r>
      <w:r w:rsidRPr="009C238A">
        <w:rPr>
          <w:rFonts w:ascii="Times New Roman" w:hAnsi="Times New Roman"/>
          <w:lang w:val="en-US"/>
        </w:rPr>
        <w:t xml:space="preserve">33,623 </w:t>
      </w:r>
      <w:r w:rsidR="00274471">
        <w:rPr>
          <w:rFonts w:ascii="Times New Roman" w:hAnsi="Times New Roman"/>
          <w:color w:val="000000" w:themeColor="text1"/>
          <w:szCs w:val="24"/>
          <w:lang w:val="en-US"/>
        </w:rPr>
        <w:t xml:space="preserve">thousand euros at September 30, </w:t>
      </w:r>
      <w:r w:rsidRPr="009C238A">
        <w:rPr>
          <w:rFonts w:ascii="Times New Roman" w:hAnsi="Times New Roman"/>
          <w:color w:val="000000" w:themeColor="text1"/>
          <w:szCs w:val="24"/>
          <w:lang w:val="en-US"/>
        </w:rPr>
        <w:t>2013 represent amounts owed to suppliers for purchases of goods and services. All amounts are due within the year.</w:t>
      </w:r>
    </w:p>
    <w:p w:rsidR="009072DB" w:rsidRPr="009C238A" w:rsidRDefault="009072DB" w:rsidP="009072DB">
      <w:pPr>
        <w:spacing w:before="240" w:line="240" w:lineRule="atLeast"/>
        <w:ind w:right="-54"/>
        <w:jc w:val="both"/>
        <w:rPr>
          <w:highlight w:val="yellow"/>
          <w:lang w:val="en-US"/>
        </w:rPr>
      </w:pPr>
    </w:p>
    <w:p w:rsidR="009072DB" w:rsidRPr="009C238A" w:rsidRDefault="009072DB" w:rsidP="009072DB">
      <w:pPr>
        <w:pStyle w:val="Intestazione"/>
        <w:tabs>
          <w:tab w:val="clear" w:pos="4819"/>
          <w:tab w:val="left" w:pos="-120"/>
          <w:tab w:val="center" w:pos="1843"/>
        </w:tabs>
        <w:jc w:val="both"/>
        <w:rPr>
          <w:lang w:val="en-US"/>
        </w:rPr>
      </w:pPr>
      <w:r w:rsidRPr="009C238A">
        <w:rPr>
          <w:b/>
          <w:lang w:val="en-US"/>
        </w:rPr>
        <w:t xml:space="preserve">(24) </w:t>
      </w:r>
      <w:r w:rsidRPr="009C238A">
        <w:rPr>
          <w:b/>
          <w:bCs/>
          <w:color w:val="000000" w:themeColor="text1"/>
          <w:lang w:val="en-US"/>
        </w:rPr>
        <w:t>Other current liabilities</w:t>
      </w:r>
      <w:r w:rsidRPr="009C238A">
        <w:rPr>
          <w:lang w:val="en-US"/>
        </w:rPr>
        <w:t xml:space="preserve"> </w:t>
      </w:r>
    </w:p>
    <w:p w:rsidR="009072DB" w:rsidRPr="009C238A" w:rsidRDefault="009072DB" w:rsidP="009072DB">
      <w:pPr>
        <w:pStyle w:val="Intestazione"/>
        <w:tabs>
          <w:tab w:val="clear" w:pos="4819"/>
          <w:tab w:val="left" w:pos="-120"/>
          <w:tab w:val="center" w:pos="1843"/>
        </w:tabs>
        <w:jc w:val="both"/>
        <w:rPr>
          <w:lang w:val="en-US"/>
        </w:rPr>
      </w:pPr>
    </w:p>
    <w:p w:rsidR="009072DB" w:rsidRPr="009C238A" w:rsidRDefault="009072DB" w:rsidP="009072DB">
      <w:pPr>
        <w:pStyle w:val="Paragrafoelenco1"/>
        <w:ind w:left="0" w:right="27"/>
        <w:jc w:val="both"/>
        <w:rPr>
          <w:rFonts w:ascii="Times New Roman" w:hAnsi="Times New Roman"/>
          <w:b/>
          <w:bCs/>
          <w:smallCaps/>
          <w:color w:val="000000" w:themeColor="text1"/>
          <w:szCs w:val="24"/>
          <w:lang w:val="en-US"/>
        </w:rPr>
      </w:pPr>
      <w:r w:rsidRPr="009C238A">
        <w:rPr>
          <w:rFonts w:ascii="Times New Roman" w:hAnsi="Times New Roman"/>
          <w:color w:val="000000" w:themeColor="text1"/>
          <w:szCs w:val="24"/>
          <w:lang w:val="en-US"/>
        </w:rPr>
        <w:t xml:space="preserve">Other current liabilities of 24,897 thousand euros consist mainly of amounts owed to employees for statutory bonuses (17,435 thousand euros), contributions payable to social security and health benefit institutions (1,372 thousand euros). </w:t>
      </w:r>
    </w:p>
    <w:p w:rsidR="009072DB" w:rsidRPr="009C238A" w:rsidRDefault="009072DB" w:rsidP="009072DB">
      <w:pPr>
        <w:pStyle w:val="Intestazione"/>
        <w:tabs>
          <w:tab w:val="clear" w:pos="4819"/>
          <w:tab w:val="left" w:pos="-120"/>
          <w:tab w:val="center" w:pos="1843"/>
        </w:tabs>
        <w:jc w:val="both"/>
        <w:rPr>
          <w:highlight w:val="yellow"/>
          <w:lang w:val="en-US"/>
        </w:rPr>
      </w:pPr>
    </w:p>
    <w:p w:rsidR="009072DB" w:rsidRPr="009C238A" w:rsidRDefault="009072DB" w:rsidP="009072DB">
      <w:pPr>
        <w:pStyle w:val="Intestazione"/>
        <w:tabs>
          <w:tab w:val="clear" w:pos="4819"/>
          <w:tab w:val="left" w:pos="-120"/>
          <w:tab w:val="center" w:pos="1843"/>
        </w:tabs>
        <w:jc w:val="both"/>
        <w:rPr>
          <w:b/>
          <w:lang w:val="en-US"/>
        </w:rPr>
      </w:pPr>
      <w:r w:rsidRPr="009C238A">
        <w:rPr>
          <w:b/>
          <w:lang w:val="en-US"/>
        </w:rPr>
        <w:t xml:space="preserve">(25) </w:t>
      </w:r>
      <w:r w:rsidRPr="009C238A">
        <w:rPr>
          <w:b/>
          <w:bCs/>
          <w:color w:val="000000" w:themeColor="text1"/>
          <w:lang w:val="en-US"/>
        </w:rPr>
        <w:t>Taxes payable</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The balance of 12,632 thousand euros represents the income tax liability for the profit earned in the first nine months of 2013, less estimated payments made, and amounts owed for other indirect taxes and fees.</w:t>
      </w:r>
    </w:p>
    <w:p w:rsidR="009072DB" w:rsidRPr="009C238A" w:rsidRDefault="009072DB" w:rsidP="009072DB">
      <w:pPr>
        <w:jc w:val="both"/>
        <w:rPr>
          <w:sz w:val="22"/>
          <w:lang w:val="en-US"/>
        </w:rPr>
      </w:pPr>
    </w:p>
    <w:p w:rsidR="009072DB" w:rsidRPr="009C238A" w:rsidRDefault="009072DB" w:rsidP="009072DB">
      <w:pPr>
        <w:pStyle w:val="Intestazione"/>
        <w:tabs>
          <w:tab w:val="clear" w:pos="4819"/>
          <w:tab w:val="left" w:pos="-120"/>
          <w:tab w:val="center" w:pos="1843"/>
        </w:tabs>
        <w:jc w:val="both"/>
        <w:rPr>
          <w:b/>
          <w:lang w:val="en-US"/>
        </w:rPr>
      </w:pPr>
    </w:p>
    <w:p w:rsidR="009072DB" w:rsidRPr="009C238A" w:rsidRDefault="009072DB" w:rsidP="009072DB">
      <w:pPr>
        <w:pStyle w:val="Intestazione"/>
        <w:tabs>
          <w:tab w:val="clear" w:pos="4819"/>
          <w:tab w:val="left" w:pos="240"/>
          <w:tab w:val="center" w:pos="1843"/>
        </w:tabs>
        <w:jc w:val="both"/>
        <w:rPr>
          <w:b/>
          <w:bCs/>
          <w:color w:val="000000" w:themeColor="text1"/>
          <w:lang w:val="en-US"/>
        </w:rPr>
      </w:pPr>
      <w:r w:rsidRPr="009C238A">
        <w:rPr>
          <w:b/>
          <w:color w:val="000000" w:themeColor="text1"/>
          <w:lang w:val="en-US"/>
        </w:rPr>
        <w:t xml:space="preserve">(26) </w:t>
      </w:r>
      <w:r w:rsidRPr="009C238A">
        <w:rPr>
          <w:b/>
          <w:bCs/>
          <w:color w:val="000000" w:themeColor="text1"/>
          <w:lang w:val="en-US"/>
        </w:rPr>
        <w:t>Commitments and contingent liabilities</w:t>
      </w:r>
    </w:p>
    <w:p w:rsidR="009072DB" w:rsidRPr="009C238A" w:rsidRDefault="009072DB" w:rsidP="009072DB">
      <w:pPr>
        <w:pStyle w:val="Intestazione"/>
        <w:tabs>
          <w:tab w:val="clear" w:pos="4819"/>
          <w:tab w:val="left" w:pos="240"/>
          <w:tab w:val="center" w:pos="1843"/>
        </w:tabs>
        <w:jc w:val="both"/>
        <w:rPr>
          <w:b/>
          <w:color w:val="000000" w:themeColor="text1"/>
          <w:lang w:val="en-US"/>
        </w:rPr>
      </w:pPr>
    </w:p>
    <w:p w:rsidR="009072DB" w:rsidRPr="009C238A" w:rsidRDefault="009072DB" w:rsidP="009072DB">
      <w:pPr>
        <w:pStyle w:val="Intestazione"/>
        <w:tabs>
          <w:tab w:val="clear" w:pos="4819"/>
          <w:tab w:val="left" w:pos="240"/>
          <w:tab w:val="center" w:pos="1843"/>
        </w:tabs>
        <w:jc w:val="both"/>
        <w:rPr>
          <w:b/>
          <w:color w:val="000000" w:themeColor="text1"/>
          <w:lang w:val="en-US"/>
        </w:rPr>
      </w:pPr>
      <w:r w:rsidRPr="009C238A">
        <w:rPr>
          <w:b/>
          <w:bCs/>
          <w:color w:val="000000" w:themeColor="text1"/>
          <w:lang w:val="en-US"/>
        </w:rPr>
        <w:t>Significant commitments and contractual obligations</w:t>
      </w:r>
    </w:p>
    <w:p w:rsidR="009072DB" w:rsidRPr="009C238A" w:rsidRDefault="009072DB" w:rsidP="009072DB">
      <w:pPr>
        <w:jc w:val="both"/>
        <w:rPr>
          <w:color w:val="000000" w:themeColor="text1"/>
          <w:lang w:val="en-US"/>
        </w:rPr>
      </w:pPr>
    </w:p>
    <w:p w:rsidR="009072DB" w:rsidRPr="009C238A" w:rsidRDefault="009072DB" w:rsidP="009072DB">
      <w:pPr>
        <w:jc w:val="both"/>
        <w:rPr>
          <w:color w:val="000000" w:themeColor="text1"/>
          <w:lang w:val="en-US"/>
        </w:rPr>
      </w:pPr>
      <w:r w:rsidRPr="009C238A">
        <w:rPr>
          <w:color w:val="000000" w:themeColor="text1"/>
          <w:lang w:val="en-US"/>
        </w:rPr>
        <w:t>Significant contractual obligations include</w:t>
      </w:r>
      <w:r w:rsidR="00F560BF" w:rsidRPr="009C238A">
        <w:rPr>
          <w:color w:val="000000" w:themeColor="text1"/>
          <w:lang w:val="en-US"/>
        </w:rPr>
        <w:t xml:space="preserve"> the agreements executed by Dias</w:t>
      </w:r>
      <w:r w:rsidRPr="009C238A">
        <w:rPr>
          <w:color w:val="000000" w:themeColor="text1"/>
          <w:lang w:val="en-US"/>
        </w:rPr>
        <w:t>orin S.p.A., the Group’s Parent Company, and Stratec in connection with the development and production of the new chemiluminescent diagnostic system (LIAISON XL). Th</w:t>
      </w:r>
      <w:r w:rsidR="00F560BF" w:rsidRPr="009C238A">
        <w:rPr>
          <w:color w:val="000000" w:themeColor="text1"/>
          <w:lang w:val="en-US"/>
        </w:rPr>
        <w:t>e supply contract signed by Dias</w:t>
      </w:r>
      <w:r w:rsidRPr="009C238A">
        <w:rPr>
          <w:color w:val="000000" w:themeColor="text1"/>
          <w:lang w:val="en-US"/>
        </w:rPr>
        <w:t>orin and Stratec calls for the latter to manufactur</w:t>
      </w:r>
      <w:r w:rsidR="00F560BF" w:rsidRPr="009C238A">
        <w:rPr>
          <w:color w:val="000000" w:themeColor="text1"/>
          <w:lang w:val="en-US"/>
        </w:rPr>
        <w:t>e and supply exclusively to Dias</w:t>
      </w:r>
      <w:r w:rsidRPr="009C238A">
        <w:rPr>
          <w:color w:val="000000" w:themeColor="text1"/>
          <w:lang w:val="en-US"/>
        </w:rPr>
        <w:t>orin the LIAISON XL analyzer. The Group has agreed to purchase a minimum number of systems. However, the projected commitment is deemed to be significantly lower than the normal level of capital investment that would be required for current or future equipment production. As a result, net invested capital is not expected to undergo significant structural changes in the future as a result of this commitment.</w:t>
      </w:r>
    </w:p>
    <w:p w:rsidR="009072DB" w:rsidRPr="009C238A" w:rsidRDefault="009072DB" w:rsidP="009072DB">
      <w:pPr>
        <w:jc w:val="both"/>
        <w:rPr>
          <w:color w:val="000000" w:themeColor="text1"/>
          <w:lang w:val="en-US"/>
        </w:rPr>
      </w:pPr>
    </w:p>
    <w:p w:rsidR="00B978CB" w:rsidRPr="009C238A" w:rsidRDefault="00B978CB" w:rsidP="009072DB">
      <w:pPr>
        <w:jc w:val="both"/>
        <w:rPr>
          <w:color w:val="000000" w:themeColor="text1"/>
          <w:lang w:val="en-US"/>
        </w:rPr>
      </w:pPr>
    </w:p>
    <w:p w:rsidR="00B978CB" w:rsidRPr="009C238A" w:rsidRDefault="00B978CB" w:rsidP="009072DB">
      <w:pPr>
        <w:jc w:val="both"/>
        <w:rPr>
          <w:color w:val="000000" w:themeColor="text1"/>
          <w:lang w:val="en-US"/>
        </w:rPr>
      </w:pPr>
    </w:p>
    <w:p w:rsidR="00B978CB" w:rsidRPr="009C238A" w:rsidRDefault="00B978CB" w:rsidP="009072DB">
      <w:pPr>
        <w:jc w:val="both"/>
        <w:rPr>
          <w:color w:val="000000" w:themeColor="text1"/>
          <w:lang w:val="en-US"/>
        </w:rPr>
      </w:pPr>
    </w:p>
    <w:p w:rsidR="009072DB" w:rsidRPr="009C238A" w:rsidRDefault="009072DB" w:rsidP="009072DB">
      <w:pPr>
        <w:jc w:val="both"/>
        <w:rPr>
          <w:b/>
          <w:bCs/>
          <w:color w:val="000000" w:themeColor="text1"/>
          <w:lang w:val="en-US"/>
        </w:rPr>
      </w:pPr>
      <w:r w:rsidRPr="009C238A">
        <w:rPr>
          <w:b/>
          <w:bCs/>
          <w:color w:val="000000" w:themeColor="text1"/>
          <w:lang w:val="en-US"/>
        </w:rPr>
        <w:t>Contingent liabilities</w:t>
      </w:r>
    </w:p>
    <w:p w:rsidR="009072DB" w:rsidRPr="009C238A" w:rsidRDefault="009072DB" w:rsidP="009072DB">
      <w:pPr>
        <w:autoSpaceDE w:val="0"/>
        <w:autoSpaceDN w:val="0"/>
        <w:adjustRightInd w:val="0"/>
        <w:jc w:val="both"/>
        <w:rPr>
          <w:lang w:val="en-US"/>
        </w:rPr>
      </w:pPr>
    </w:p>
    <w:p w:rsidR="009072DB" w:rsidRPr="009C238A" w:rsidRDefault="00F560BF" w:rsidP="009072DB">
      <w:pPr>
        <w:widowControl w:val="0"/>
        <w:autoSpaceDE w:val="0"/>
        <w:autoSpaceDN w:val="0"/>
        <w:adjustRightInd w:val="0"/>
        <w:jc w:val="both"/>
        <w:rPr>
          <w:color w:val="000000" w:themeColor="text1"/>
          <w:lang w:val="en-US"/>
        </w:rPr>
      </w:pPr>
      <w:r w:rsidRPr="009C238A">
        <w:rPr>
          <w:color w:val="000000" w:themeColor="text1"/>
          <w:lang w:val="en-US"/>
        </w:rPr>
        <w:t>The Dias</w:t>
      </w:r>
      <w:r w:rsidR="009072DB" w:rsidRPr="009C238A">
        <w:rPr>
          <w:color w:val="000000" w:themeColor="text1"/>
          <w:lang w:val="en-US"/>
        </w:rPr>
        <w:t xml:space="preserve">orin Group operates globally. As a result, it is exposed to the risks that arise from the complex laws and regulations that apply to its commercial and manufacturing activities. </w:t>
      </w:r>
    </w:p>
    <w:p w:rsidR="009072DB" w:rsidRPr="009C238A" w:rsidRDefault="009072DB" w:rsidP="009072DB">
      <w:pPr>
        <w:jc w:val="both"/>
        <w:rPr>
          <w:color w:val="000000" w:themeColor="text1"/>
          <w:lang w:val="en-US"/>
        </w:rPr>
      </w:pPr>
      <w:r w:rsidRPr="009C238A">
        <w:rPr>
          <w:color w:val="000000" w:themeColor="text1"/>
          <w:lang w:val="en-US"/>
        </w:rPr>
        <w:t>The Group believes that, overall, the amounts set aside for pending legal disputes in the corresponding provision for risks are adequate.</w:t>
      </w:r>
    </w:p>
    <w:p w:rsidR="009072DB" w:rsidRPr="009C238A" w:rsidRDefault="009072DB" w:rsidP="009072DB">
      <w:pPr>
        <w:autoSpaceDE w:val="0"/>
        <w:autoSpaceDN w:val="0"/>
        <w:adjustRightInd w:val="0"/>
        <w:rPr>
          <w:lang w:val="en-US"/>
        </w:rPr>
      </w:pPr>
    </w:p>
    <w:p w:rsidR="009072DB" w:rsidRPr="009C238A" w:rsidRDefault="009072DB" w:rsidP="009072DB">
      <w:pPr>
        <w:autoSpaceDE w:val="0"/>
        <w:autoSpaceDN w:val="0"/>
        <w:adjustRightInd w:val="0"/>
        <w:rPr>
          <w:b/>
          <w:bCs/>
          <w:color w:val="000000" w:themeColor="text1"/>
          <w:lang w:val="en-US"/>
        </w:rPr>
      </w:pPr>
      <w:r w:rsidRPr="009C238A">
        <w:rPr>
          <w:b/>
          <w:color w:val="000000" w:themeColor="text1"/>
          <w:lang w:val="en-US"/>
        </w:rPr>
        <w:t xml:space="preserve">(27) </w:t>
      </w:r>
      <w:r w:rsidRPr="009C238A">
        <w:rPr>
          <w:b/>
          <w:bCs/>
          <w:color w:val="000000" w:themeColor="text1"/>
          <w:lang w:val="en-US"/>
        </w:rPr>
        <w:t>Entries resulting from atypical and/or unusual transactions</w:t>
      </w:r>
    </w:p>
    <w:p w:rsidR="009072DB" w:rsidRPr="009C238A" w:rsidRDefault="009072DB" w:rsidP="009072DB">
      <w:pPr>
        <w:spacing w:before="240" w:line="240" w:lineRule="atLeast"/>
        <w:ind w:right="-54"/>
        <w:jc w:val="both"/>
        <w:rPr>
          <w:color w:val="000000" w:themeColor="text1"/>
          <w:lang w:val="en-US"/>
        </w:rPr>
      </w:pPr>
      <w:r w:rsidRPr="009C238A">
        <w:rPr>
          <w:color w:val="000000" w:themeColor="text1"/>
          <w:lang w:val="en-US"/>
        </w:rPr>
        <w:t>As required by Consob Communication No. DEM/6064296 of July 28, 2006, the Company declares that, in the first half of 2013, the Group did not execute atypical and/or unusual transactions, as defined in the abovementioned Communication, according to which atypical and/or unusual transactions are transactions that, because of their significance/material amount, type of counterpart, subject of the transaction, method of determining the transfer price and timing of the event (proximity to the end of a reporting period), could create doubts with regard to: the fairness/completeness of the financial statement disclosures, the existence of a conflict of interest, the safety of the corporate assets and the protection of minority shareholders.</w:t>
      </w:r>
    </w:p>
    <w:p w:rsidR="009072DB" w:rsidRPr="009C238A" w:rsidRDefault="009072DB" w:rsidP="009072DB">
      <w:pPr>
        <w:jc w:val="both"/>
        <w:rPr>
          <w:lang w:val="en-US"/>
        </w:rPr>
      </w:pPr>
      <w:r w:rsidRPr="009C238A">
        <w:rPr>
          <w:b/>
          <w:color w:val="000000" w:themeColor="text1"/>
          <w:lang w:val="en-US"/>
        </w:rPr>
        <w:br w:type="page"/>
      </w:r>
      <w:bookmarkStart w:id="68" w:name="_Toc268782962"/>
      <w:r w:rsidRPr="009C238A">
        <w:rPr>
          <w:b/>
          <w:smallCaps/>
          <w:color w:val="000000" w:themeColor="text1"/>
          <w:sz w:val="28"/>
          <w:szCs w:val="28"/>
          <w:lang w:val="en-US"/>
        </w:rPr>
        <w:t xml:space="preserve">Annex I: </w:t>
      </w:r>
      <w:bookmarkEnd w:id="68"/>
      <w:r w:rsidRPr="009C238A">
        <w:rPr>
          <w:b/>
          <w:smallCaps/>
          <w:color w:val="000000" w:themeColor="text1"/>
          <w:sz w:val="28"/>
          <w:szCs w:val="28"/>
          <w:lang w:val="en-US"/>
        </w:rPr>
        <w:t>List of equity investments</w:t>
      </w:r>
    </w:p>
    <w:p w:rsidR="009072DB" w:rsidRPr="009C238A" w:rsidRDefault="009072DB" w:rsidP="009072DB">
      <w:pPr>
        <w:jc w:val="center"/>
        <w:rPr>
          <w:b/>
          <w:smallCaps/>
          <w:highlight w:val="yellow"/>
          <w:lang w:val="en-US"/>
        </w:rPr>
      </w:pPr>
    </w:p>
    <w:p w:rsidR="009072DB" w:rsidRPr="009C238A" w:rsidRDefault="009072DB" w:rsidP="009072DB">
      <w:pPr>
        <w:jc w:val="center"/>
        <w:rPr>
          <w:b/>
          <w:smallCaps/>
          <w:highlight w:val="yellow"/>
          <w:lang w:val="en-US"/>
        </w:rPr>
      </w:pPr>
    </w:p>
    <w:tbl>
      <w:tblPr>
        <w:tblW w:w="5000" w:type="pct"/>
        <w:tblCellMar>
          <w:left w:w="70" w:type="dxa"/>
          <w:right w:w="70" w:type="dxa"/>
        </w:tblCellMar>
        <w:tblLook w:val="04A0"/>
      </w:tblPr>
      <w:tblGrid>
        <w:gridCol w:w="4393"/>
        <w:gridCol w:w="1188"/>
        <w:gridCol w:w="798"/>
        <w:gridCol w:w="1169"/>
        <w:gridCol w:w="1149"/>
        <w:gridCol w:w="1075"/>
      </w:tblGrid>
      <w:tr w:rsidR="009072DB" w:rsidRPr="009C238A" w:rsidTr="009072DB">
        <w:trPr>
          <w:trHeight w:val="645"/>
        </w:trPr>
        <w:tc>
          <w:tcPr>
            <w:tcW w:w="2248" w:type="pct"/>
            <w:tcBorders>
              <w:top w:val="single" w:sz="4" w:space="0" w:color="auto"/>
              <w:left w:val="nil"/>
              <w:bottom w:val="single" w:sz="4" w:space="0" w:color="auto"/>
              <w:right w:val="nil"/>
            </w:tcBorders>
            <w:shd w:val="clear" w:color="auto" w:fill="auto"/>
            <w:vAlign w:val="bottom"/>
            <w:hideMark/>
          </w:tcPr>
          <w:p w:rsidR="009072DB" w:rsidRPr="009C238A" w:rsidRDefault="009072DB" w:rsidP="009072DB">
            <w:pPr>
              <w:jc w:val="center"/>
              <w:rPr>
                <w:b/>
                <w:bCs/>
                <w:sz w:val="16"/>
                <w:szCs w:val="16"/>
                <w:lang w:val="en-US"/>
              </w:rPr>
            </w:pPr>
            <w:r w:rsidRPr="009C238A">
              <w:rPr>
                <w:b/>
                <w:color w:val="000000" w:themeColor="text1"/>
                <w:sz w:val="16"/>
                <w:szCs w:val="16"/>
                <w:lang w:val="en-US"/>
              </w:rPr>
              <w:t>Company</w:t>
            </w:r>
          </w:p>
        </w:tc>
        <w:tc>
          <w:tcPr>
            <w:tcW w:w="608" w:type="pct"/>
            <w:tcBorders>
              <w:top w:val="single" w:sz="4" w:space="0" w:color="auto"/>
              <w:left w:val="nil"/>
              <w:bottom w:val="single" w:sz="4" w:space="0" w:color="auto"/>
              <w:right w:val="nil"/>
            </w:tcBorders>
            <w:shd w:val="clear" w:color="auto" w:fill="auto"/>
            <w:vAlign w:val="bottom"/>
            <w:hideMark/>
          </w:tcPr>
          <w:p w:rsidR="009072DB" w:rsidRPr="009C238A" w:rsidRDefault="009072DB" w:rsidP="009072DB">
            <w:pPr>
              <w:rPr>
                <w:b/>
                <w:bCs/>
                <w:sz w:val="16"/>
                <w:szCs w:val="16"/>
                <w:lang w:val="en-US"/>
              </w:rPr>
            </w:pPr>
            <w:r w:rsidRPr="009C238A">
              <w:rPr>
                <w:b/>
                <w:color w:val="000000" w:themeColor="text1"/>
                <w:sz w:val="16"/>
                <w:szCs w:val="16"/>
                <w:lang w:val="en-US"/>
              </w:rPr>
              <w:t>Head office location</w:t>
            </w:r>
          </w:p>
        </w:tc>
        <w:tc>
          <w:tcPr>
            <w:tcW w:w="408" w:type="pct"/>
            <w:tcBorders>
              <w:top w:val="single" w:sz="4" w:space="0" w:color="auto"/>
              <w:left w:val="nil"/>
              <w:bottom w:val="single" w:sz="4" w:space="0" w:color="auto"/>
              <w:right w:val="nil"/>
            </w:tcBorders>
            <w:shd w:val="clear" w:color="auto" w:fill="auto"/>
            <w:vAlign w:val="bottom"/>
            <w:hideMark/>
          </w:tcPr>
          <w:p w:rsidR="009072DB" w:rsidRPr="009C238A" w:rsidRDefault="009072DB" w:rsidP="009072DB">
            <w:pPr>
              <w:jc w:val="center"/>
              <w:rPr>
                <w:b/>
                <w:bCs/>
                <w:sz w:val="16"/>
                <w:szCs w:val="16"/>
                <w:lang w:val="en-US"/>
              </w:rPr>
            </w:pPr>
            <w:r w:rsidRPr="009C238A">
              <w:rPr>
                <w:b/>
                <w:color w:val="000000" w:themeColor="text1"/>
                <w:sz w:val="16"/>
                <w:szCs w:val="16"/>
                <w:lang w:val="en-US"/>
              </w:rPr>
              <w:t>Currency</w:t>
            </w:r>
          </w:p>
        </w:tc>
        <w:tc>
          <w:tcPr>
            <w:tcW w:w="598" w:type="pct"/>
            <w:tcBorders>
              <w:top w:val="single" w:sz="4" w:space="0" w:color="auto"/>
              <w:left w:val="nil"/>
              <w:bottom w:val="single" w:sz="4" w:space="0" w:color="auto"/>
              <w:right w:val="nil"/>
            </w:tcBorders>
            <w:shd w:val="clear" w:color="auto" w:fill="auto"/>
            <w:vAlign w:val="bottom"/>
            <w:hideMark/>
          </w:tcPr>
          <w:p w:rsidR="009072DB" w:rsidRPr="009C238A" w:rsidRDefault="009072DB" w:rsidP="009072DB">
            <w:pPr>
              <w:jc w:val="center"/>
              <w:rPr>
                <w:b/>
                <w:bCs/>
                <w:sz w:val="16"/>
                <w:szCs w:val="16"/>
                <w:lang w:val="en-US"/>
              </w:rPr>
            </w:pPr>
            <w:r w:rsidRPr="009C238A">
              <w:rPr>
                <w:b/>
                <w:color w:val="000000" w:themeColor="text1"/>
                <w:sz w:val="16"/>
                <w:szCs w:val="16"/>
                <w:lang w:val="en-US"/>
              </w:rPr>
              <w:t xml:space="preserve">Share capital </w:t>
            </w:r>
            <w:r w:rsidRPr="009C238A">
              <w:rPr>
                <w:b/>
                <w:bCs/>
                <w:sz w:val="16"/>
                <w:szCs w:val="16"/>
                <w:lang w:val="en-US"/>
              </w:rPr>
              <w:t>(*)</w:t>
            </w:r>
          </w:p>
        </w:tc>
        <w:tc>
          <w:tcPr>
            <w:tcW w:w="588" w:type="pct"/>
            <w:tcBorders>
              <w:top w:val="single" w:sz="4" w:space="0" w:color="auto"/>
              <w:left w:val="nil"/>
              <w:bottom w:val="single" w:sz="4" w:space="0" w:color="auto"/>
              <w:right w:val="nil"/>
            </w:tcBorders>
            <w:shd w:val="clear" w:color="auto" w:fill="auto"/>
            <w:vAlign w:val="bottom"/>
            <w:hideMark/>
          </w:tcPr>
          <w:p w:rsidR="009072DB" w:rsidRPr="009C238A" w:rsidRDefault="009072DB" w:rsidP="009072DB">
            <w:pPr>
              <w:jc w:val="center"/>
              <w:rPr>
                <w:b/>
                <w:bCs/>
                <w:sz w:val="16"/>
                <w:szCs w:val="16"/>
                <w:lang w:val="en-US"/>
              </w:rPr>
            </w:pPr>
            <w:r w:rsidRPr="009C238A">
              <w:rPr>
                <w:b/>
                <w:color w:val="000000" w:themeColor="text1"/>
                <w:sz w:val="16"/>
                <w:szCs w:val="16"/>
                <w:lang w:val="en-US"/>
              </w:rPr>
              <w:t>Par value per share or partnership interest</w:t>
            </w:r>
          </w:p>
        </w:tc>
        <w:tc>
          <w:tcPr>
            <w:tcW w:w="550" w:type="pct"/>
            <w:tcBorders>
              <w:top w:val="single" w:sz="4" w:space="0" w:color="auto"/>
              <w:left w:val="nil"/>
              <w:bottom w:val="single" w:sz="4" w:space="0" w:color="auto"/>
              <w:right w:val="nil"/>
            </w:tcBorders>
            <w:shd w:val="clear" w:color="auto" w:fill="auto"/>
            <w:vAlign w:val="bottom"/>
            <w:hideMark/>
          </w:tcPr>
          <w:p w:rsidR="009072DB" w:rsidRPr="009C238A" w:rsidRDefault="009072DB" w:rsidP="009072DB">
            <w:pPr>
              <w:jc w:val="center"/>
              <w:rPr>
                <w:b/>
                <w:bCs/>
                <w:sz w:val="16"/>
                <w:szCs w:val="16"/>
                <w:lang w:val="en-US"/>
              </w:rPr>
            </w:pPr>
            <w:r w:rsidRPr="009C238A">
              <w:rPr>
                <w:b/>
                <w:color w:val="000000" w:themeColor="text1"/>
                <w:sz w:val="16"/>
                <w:szCs w:val="16"/>
                <w:lang w:val="en-US"/>
              </w:rPr>
              <w:t>% interest held directly</w:t>
            </w:r>
          </w:p>
        </w:tc>
      </w:tr>
      <w:tr w:rsidR="009072DB" w:rsidRPr="00923B29" w:rsidTr="009072DB">
        <w:trPr>
          <w:trHeight w:val="255"/>
        </w:trPr>
        <w:tc>
          <w:tcPr>
            <w:tcW w:w="2248" w:type="pct"/>
            <w:tcBorders>
              <w:top w:val="nil"/>
              <w:left w:val="nil"/>
              <w:bottom w:val="nil"/>
              <w:right w:val="nil"/>
            </w:tcBorders>
            <w:shd w:val="clear" w:color="auto" w:fill="auto"/>
            <w:noWrap/>
            <w:vAlign w:val="center"/>
            <w:hideMark/>
          </w:tcPr>
          <w:p w:rsidR="009072DB" w:rsidRPr="009C238A" w:rsidRDefault="00B978CB" w:rsidP="009072DB">
            <w:pPr>
              <w:rPr>
                <w:b/>
                <w:bCs/>
                <w:sz w:val="16"/>
                <w:szCs w:val="16"/>
                <w:lang w:val="en-US"/>
              </w:rPr>
            </w:pPr>
            <w:r w:rsidRPr="009C238A">
              <w:rPr>
                <w:b/>
                <w:sz w:val="16"/>
                <w:szCs w:val="16"/>
                <w:lang w:val="en-US"/>
              </w:rPr>
              <w:t>Companies consolidated line by line</w:t>
            </w:r>
          </w:p>
        </w:tc>
        <w:tc>
          <w:tcPr>
            <w:tcW w:w="608" w:type="pct"/>
            <w:tcBorders>
              <w:top w:val="nil"/>
              <w:left w:val="nil"/>
              <w:bottom w:val="nil"/>
              <w:right w:val="nil"/>
            </w:tcBorders>
            <w:shd w:val="clear" w:color="auto" w:fill="auto"/>
            <w:vAlign w:val="center"/>
            <w:hideMark/>
          </w:tcPr>
          <w:p w:rsidR="009072DB" w:rsidRPr="009C238A" w:rsidRDefault="009072DB" w:rsidP="009072DB">
            <w:pPr>
              <w:jc w:val="center"/>
              <w:rPr>
                <w:rFonts w:ascii="Calibri" w:hAnsi="Calibri" w:cs="Arial"/>
                <w:sz w:val="16"/>
                <w:szCs w:val="16"/>
                <w:lang w:val="en-US"/>
              </w:rPr>
            </w:pP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rFonts w:ascii="Calibri" w:hAnsi="Calibri" w:cs="Arial"/>
                <w:sz w:val="16"/>
                <w:szCs w:val="16"/>
                <w:lang w:val="en-US"/>
              </w:rPr>
            </w:pP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center"/>
              <w:rPr>
                <w:rFonts w:ascii="Calibri" w:hAnsi="Calibri" w:cs="Arial"/>
                <w:sz w:val="16"/>
                <w:szCs w:val="16"/>
                <w:lang w:val="en-US"/>
              </w:rPr>
            </w:pP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center"/>
              <w:rPr>
                <w:rFonts w:ascii="Calibri" w:hAnsi="Calibri" w:cs="Arial"/>
                <w:sz w:val="16"/>
                <w:szCs w:val="16"/>
                <w:lang w:val="en-US"/>
              </w:rPr>
            </w:pP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center"/>
              <w:rPr>
                <w:rFonts w:ascii="Calibri" w:hAnsi="Calibri" w:cs="Arial"/>
                <w:sz w:val="16"/>
                <w:szCs w:val="16"/>
                <w:lang w:val="en-US"/>
              </w:rPr>
            </w:pP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0F56BB" w:rsidRDefault="009072DB" w:rsidP="009072DB">
            <w:pPr>
              <w:rPr>
                <w:sz w:val="16"/>
                <w:szCs w:val="16"/>
              </w:rPr>
            </w:pPr>
            <w:r w:rsidRPr="000F56BB">
              <w:rPr>
                <w:sz w:val="16"/>
                <w:szCs w:val="16"/>
              </w:rPr>
              <w:t>Diasorin S.A/N.V.</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Bruxelles (Belgium)</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1,674,000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6,696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99.99%</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Ltda</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San Paolo (Brazil)</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BRL</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18,056,977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99.99%</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S.A.</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Antony (France)</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960,000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15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99.99%</w:t>
            </w:r>
          </w:p>
        </w:tc>
      </w:tr>
      <w:tr w:rsidR="009072DB" w:rsidRPr="009C238A" w:rsidTr="009072DB">
        <w:trPr>
          <w:trHeight w:val="255"/>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Iberia S.A.</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Madrid (Spain)</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1,453,687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6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99.99%</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Ltd</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Oldbury (Great Britain)</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GBP</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500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Inc.</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Stillwater           (USA)</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USD</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0.01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 xml:space="preserve">Diasorin Canada Inc </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Mississauga (Canada)</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CAD</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200,000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N/A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0F56BB" w:rsidRDefault="009072DB" w:rsidP="009072DB">
            <w:pPr>
              <w:rPr>
                <w:sz w:val="16"/>
                <w:szCs w:val="16"/>
              </w:rPr>
            </w:pPr>
            <w:r w:rsidRPr="000F56BB">
              <w:rPr>
                <w:sz w:val="16"/>
                <w:szCs w:val="16"/>
              </w:rPr>
              <w:t>Diasorin Mexico S.A de C.V.</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Mexico City (Mexico)</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MXP</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63,768,473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99.99%</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Deutschland GmbH</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Dietzenbach (Germany)</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275,000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275,000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AB</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Sundbyberg (Sweden)</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SEK</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5,000,000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100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Ltd</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Rosh Haayin (Israel)</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ILS</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255"/>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Austria GmbH</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Vienna (Austria)</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35,000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35,000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675"/>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Czech s.r.o.</w:t>
            </w:r>
          </w:p>
        </w:tc>
        <w:tc>
          <w:tcPr>
            <w:tcW w:w="608" w:type="pct"/>
            <w:tcBorders>
              <w:top w:val="nil"/>
              <w:left w:val="nil"/>
              <w:bottom w:val="nil"/>
              <w:right w:val="nil"/>
            </w:tcBorders>
            <w:shd w:val="clear" w:color="auto" w:fill="auto"/>
            <w:vAlign w:val="center"/>
            <w:hideMark/>
          </w:tcPr>
          <w:p w:rsidR="009072DB" w:rsidRPr="009C238A" w:rsidRDefault="00866117" w:rsidP="009072DB">
            <w:pPr>
              <w:rPr>
                <w:sz w:val="16"/>
                <w:szCs w:val="16"/>
                <w:lang w:val="en-US"/>
              </w:rPr>
            </w:pPr>
            <w:r>
              <w:rPr>
                <w:sz w:val="16"/>
                <w:szCs w:val="16"/>
                <w:lang w:val="en-US"/>
              </w:rPr>
              <w:t>Prague</w:t>
            </w:r>
            <w:r w:rsidR="009072DB" w:rsidRPr="009C238A">
              <w:rPr>
                <w:sz w:val="16"/>
                <w:szCs w:val="16"/>
                <w:lang w:val="en-US"/>
              </w:rPr>
              <w:t xml:space="preserve"> (Czech Republic)</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CZK</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200,000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200,000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255"/>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Diagnostics Ireland Limited</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Dublin (Ireland)</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3,923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0.01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255"/>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 xml:space="preserve">Diasorin Ireland Limited </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Dublin (Ireland)</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163,202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1.2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w:t>
            </w:r>
          </w:p>
        </w:tc>
      </w:tr>
      <w:tr w:rsidR="009072DB" w:rsidRPr="009C238A" w:rsidTr="009072DB">
        <w:trPr>
          <w:trHeight w:val="255"/>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Biotrin Intellectual Properties Limited</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Dublin (Ireland)</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144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0.6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w:t>
            </w:r>
          </w:p>
        </w:tc>
      </w:tr>
      <w:tr w:rsidR="009072DB" w:rsidRPr="009C238A" w:rsidTr="009072DB">
        <w:trPr>
          <w:trHeight w:val="255"/>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 xml:space="preserve">Diasorin I.N.UK Limited </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Dublin (Ireland)</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7,826,072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0.01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South Africa (PTY) Ltd</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Johannesburg (South Africa)</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ZAR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101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450"/>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Australia (Pty) Ltd</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Sydney (Australia)</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AUD</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100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100.00%</w:t>
            </w:r>
          </w:p>
        </w:tc>
      </w:tr>
      <w:tr w:rsidR="009072DB" w:rsidRPr="009C238A" w:rsidTr="009072DB">
        <w:trPr>
          <w:trHeight w:val="255"/>
        </w:trPr>
        <w:tc>
          <w:tcPr>
            <w:tcW w:w="2248" w:type="pct"/>
            <w:tcBorders>
              <w:top w:val="nil"/>
              <w:left w:val="nil"/>
              <w:bottom w:val="nil"/>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Diasorin Ltd</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Shanghai (China)</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RMB</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1,211,417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 xml:space="preserve">                       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color w:val="000000" w:themeColor="text1"/>
                <w:sz w:val="16"/>
                <w:szCs w:val="16"/>
                <w:lang w:val="en-US"/>
              </w:rPr>
              <w:t>80.00%</w:t>
            </w:r>
          </w:p>
        </w:tc>
      </w:tr>
      <w:tr w:rsidR="009072DB" w:rsidRPr="009C238A" w:rsidTr="009072DB">
        <w:trPr>
          <w:trHeight w:val="255"/>
        </w:trPr>
        <w:tc>
          <w:tcPr>
            <w:tcW w:w="2248" w:type="pct"/>
            <w:tcBorders>
              <w:top w:val="nil"/>
              <w:left w:val="nil"/>
              <w:bottom w:val="single" w:sz="4" w:space="0" w:color="auto"/>
              <w:right w:val="nil"/>
            </w:tcBorders>
            <w:shd w:val="clear" w:color="auto" w:fill="auto"/>
            <w:noWrap/>
            <w:vAlign w:val="center"/>
            <w:hideMark/>
          </w:tcPr>
          <w:p w:rsidR="009072DB" w:rsidRPr="009C238A" w:rsidRDefault="00F81FE7" w:rsidP="009072DB">
            <w:pPr>
              <w:rPr>
                <w:sz w:val="16"/>
                <w:szCs w:val="16"/>
                <w:lang w:val="en-US"/>
              </w:rPr>
            </w:pPr>
            <w:r w:rsidRPr="009C238A">
              <w:rPr>
                <w:sz w:val="16"/>
                <w:szCs w:val="16"/>
                <w:lang w:val="en-US"/>
              </w:rPr>
              <w:t>Dias</w:t>
            </w:r>
            <w:r w:rsidR="009072DB" w:rsidRPr="009C238A">
              <w:rPr>
                <w:sz w:val="16"/>
                <w:szCs w:val="16"/>
                <w:lang w:val="en-US"/>
              </w:rPr>
              <w:t>orin Switzerland AG</w:t>
            </w:r>
          </w:p>
        </w:tc>
        <w:tc>
          <w:tcPr>
            <w:tcW w:w="608" w:type="pct"/>
            <w:tcBorders>
              <w:top w:val="nil"/>
              <w:left w:val="nil"/>
              <w:bottom w:val="single" w:sz="4" w:space="0" w:color="auto"/>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Zurich (Switzerland)</w:t>
            </w:r>
          </w:p>
        </w:tc>
        <w:tc>
          <w:tcPr>
            <w:tcW w:w="40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sz w:val="16"/>
                <w:szCs w:val="16"/>
                <w:lang w:val="en-US"/>
              </w:rPr>
              <w:t>CHF</w:t>
            </w:r>
          </w:p>
        </w:tc>
        <w:tc>
          <w:tcPr>
            <w:tcW w:w="598" w:type="pct"/>
            <w:tcBorders>
              <w:top w:val="nil"/>
              <w:left w:val="nil"/>
              <w:bottom w:val="single" w:sz="4" w:space="0" w:color="auto"/>
              <w:right w:val="nil"/>
            </w:tcBorders>
            <w:shd w:val="clear" w:color="auto" w:fill="auto"/>
            <w:vAlign w:val="center"/>
            <w:hideMark/>
          </w:tcPr>
          <w:p w:rsidR="009072DB" w:rsidRPr="009C238A" w:rsidRDefault="009072DB" w:rsidP="009072DB">
            <w:pPr>
              <w:jc w:val="right"/>
              <w:rPr>
                <w:sz w:val="16"/>
                <w:szCs w:val="16"/>
                <w:lang w:val="en-US"/>
              </w:rPr>
            </w:pPr>
            <w:r w:rsidRPr="009C238A">
              <w:rPr>
                <w:sz w:val="16"/>
                <w:szCs w:val="16"/>
                <w:lang w:val="en-US"/>
              </w:rPr>
              <w:t xml:space="preserve">            100,000 </w:t>
            </w:r>
          </w:p>
        </w:tc>
        <w:tc>
          <w:tcPr>
            <w:tcW w:w="58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xml:space="preserve">                   100 </w:t>
            </w:r>
          </w:p>
        </w:tc>
        <w:tc>
          <w:tcPr>
            <w:tcW w:w="550"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100.00%</w:t>
            </w:r>
          </w:p>
        </w:tc>
      </w:tr>
      <w:tr w:rsidR="009072DB" w:rsidRPr="00923B29" w:rsidTr="009072DB">
        <w:trPr>
          <w:trHeight w:val="255"/>
        </w:trPr>
        <w:tc>
          <w:tcPr>
            <w:tcW w:w="2856" w:type="pct"/>
            <w:gridSpan w:val="2"/>
            <w:tcBorders>
              <w:top w:val="single" w:sz="4" w:space="0" w:color="auto"/>
              <w:left w:val="nil"/>
              <w:bottom w:val="nil"/>
              <w:right w:val="nil"/>
            </w:tcBorders>
            <w:shd w:val="clear" w:color="auto" w:fill="auto"/>
            <w:noWrap/>
            <w:vAlign w:val="center"/>
            <w:hideMark/>
          </w:tcPr>
          <w:p w:rsidR="009072DB" w:rsidRPr="009C238A" w:rsidRDefault="00B978CB" w:rsidP="009072DB">
            <w:pPr>
              <w:rPr>
                <w:b/>
                <w:bCs/>
                <w:sz w:val="16"/>
                <w:szCs w:val="16"/>
                <w:lang w:val="en-US"/>
              </w:rPr>
            </w:pPr>
            <w:r w:rsidRPr="009C238A">
              <w:rPr>
                <w:b/>
                <w:bCs/>
                <w:sz w:val="16"/>
                <w:szCs w:val="16"/>
                <w:lang w:val="en-US"/>
              </w:rPr>
              <w:t>Investments accounted for using</w:t>
            </w:r>
            <w:r w:rsidR="002C0708" w:rsidRPr="009C238A">
              <w:rPr>
                <w:b/>
                <w:bCs/>
                <w:sz w:val="16"/>
                <w:szCs w:val="16"/>
                <w:lang w:val="en-US"/>
              </w:rPr>
              <w:t xml:space="preserve"> the equity method</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rPr>
                <w:rFonts w:ascii="Calibri" w:hAnsi="Calibri" w:cs="Arial"/>
                <w:sz w:val="16"/>
                <w:szCs w:val="16"/>
                <w:lang w:val="en-US"/>
              </w:rPr>
            </w:pPr>
            <w:r w:rsidRPr="009C238A">
              <w:rPr>
                <w:rFonts w:ascii="Calibri" w:hAnsi="Calibri" w:cs="Arial"/>
                <w:sz w:val="16"/>
                <w:szCs w:val="16"/>
                <w:lang w:val="en-US"/>
              </w:rPr>
              <w:t> </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w:t>
            </w:r>
          </w:p>
        </w:tc>
      </w:tr>
      <w:tr w:rsidR="009072DB" w:rsidRPr="009C238A" w:rsidTr="009072DB">
        <w:trPr>
          <w:trHeight w:val="255"/>
        </w:trPr>
        <w:tc>
          <w:tcPr>
            <w:tcW w:w="2248" w:type="pct"/>
            <w:tcBorders>
              <w:top w:val="nil"/>
              <w:left w:val="nil"/>
              <w:bottom w:val="single" w:sz="4" w:space="0" w:color="auto"/>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Diasorin Trivitron Healthcare Private Limited</w:t>
            </w:r>
          </w:p>
        </w:tc>
        <w:tc>
          <w:tcPr>
            <w:tcW w:w="608" w:type="pct"/>
            <w:tcBorders>
              <w:top w:val="nil"/>
              <w:left w:val="nil"/>
              <w:bottom w:val="single" w:sz="4" w:space="0" w:color="auto"/>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Chennai (India)</w:t>
            </w:r>
          </w:p>
        </w:tc>
        <w:tc>
          <w:tcPr>
            <w:tcW w:w="40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sz w:val="16"/>
                <w:szCs w:val="16"/>
                <w:lang w:val="en-US"/>
              </w:rPr>
              <w:t>INR</w:t>
            </w:r>
          </w:p>
        </w:tc>
        <w:tc>
          <w:tcPr>
            <w:tcW w:w="59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xml:space="preserve">       77,809,000 </w:t>
            </w:r>
          </w:p>
        </w:tc>
        <w:tc>
          <w:tcPr>
            <w:tcW w:w="58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xml:space="preserve">                     10 </w:t>
            </w:r>
          </w:p>
        </w:tc>
        <w:tc>
          <w:tcPr>
            <w:tcW w:w="550"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w:t>
            </w:r>
          </w:p>
        </w:tc>
      </w:tr>
      <w:tr w:rsidR="009072DB" w:rsidRPr="00923B29" w:rsidTr="009072DB">
        <w:trPr>
          <w:trHeight w:val="255"/>
        </w:trPr>
        <w:tc>
          <w:tcPr>
            <w:tcW w:w="2856" w:type="pct"/>
            <w:gridSpan w:val="2"/>
            <w:tcBorders>
              <w:top w:val="nil"/>
              <w:left w:val="nil"/>
              <w:bottom w:val="nil"/>
              <w:right w:val="nil"/>
            </w:tcBorders>
            <w:shd w:val="clear" w:color="auto" w:fill="auto"/>
            <w:noWrap/>
            <w:vAlign w:val="center"/>
            <w:hideMark/>
          </w:tcPr>
          <w:p w:rsidR="009072DB" w:rsidRPr="009C238A" w:rsidRDefault="00B978CB" w:rsidP="009072DB">
            <w:pPr>
              <w:rPr>
                <w:b/>
                <w:bCs/>
                <w:sz w:val="16"/>
                <w:szCs w:val="16"/>
                <w:lang w:val="en-US"/>
              </w:rPr>
            </w:pPr>
            <w:r w:rsidRPr="009C238A">
              <w:rPr>
                <w:b/>
                <w:bCs/>
                <w:sz w:val="16"/>
                <w:szCs w:val="16"/>
                <w:lang w:val="en-US"/>
              </w:rPr>
              <w:t>Equity investments valued at cost</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p>
        </w:tc>
      </w:tr>
      <w:tr w:rsidR="009072DB" w:rsidRPr="009C238A" w:rsidTr="009072DB">
        <w:trPr>
          <w:trHeight w:val="450"/>
        </w:trPr>
        <w:tc>
          <w:tcPr>
            <w:tcW w:w="224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Diasorin Deutschland Unterstuetzungskasse GmbH</w:t>
            </w:r>
          </w:p>
        </w:tc>
        <w:tc>
          <w:tcPr>
            <w:tcW w:w="608" w:type="pct"/>
            <w:tcBorders>
              <w:top w:val="nil"/>
              <w:left w:val="nil"/>
              <w:bottom w:val="nil"/>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Dietzenbach (Germany)</w:t>
            </w:r>
          </w:p>
        </w:tc>
        <w:tc>
          <w:tcPr>
            <w:tcW w:w="408" w:type="pct"/>
            <w:tcBorders>
              <w:top w:val="nil"/>
              <w:left w:val="nil"/>
              <w:bottom w:val="nil"/>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xml:space="preserve">              25,565 </w:t>
            </w:r>
          </w:p>
        </w:tc>
        <w:tc>
          <w:tcPr>
            <w:tcW w:w="588"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xml:space="preserve">                       1 </w:t>
            </w:r>
          </w:p>
        </w:tc>
        <w:tc>
          <w:tcPr>
            <w:tcW w:w="550" w:type="pct"/>
            <w:tcBorders>
              <w:top w:val="nil"/>
              <w:left w:val="nil"/>
              <w:bottom w:val="nil"/>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w:t>
            </w:r>
          </w:p>
        </w:tc>
      </w:tr>
      <w:tr w:rsidR="009072DB" w:rsidRPr="009C238A" w:rsidTr="009072DB">
        <w:trPr>
          <w:trHeight w:val="255"/>
        </w:trPr>
        <w:tc>
          <w:tcPr>
            <w:tcW w:w="2248" w:type="pct"/>
            <w:tcBorders>
              <w:top w:val="nil"/>
              <w:left w:val="nil"/>
              <w:bottom w:val="single" w:sz="4" w:space="0" w:color="auto"/>
              <w:right w:val="nil"/>
            </w:tcBorders>
            <w:shd w:val="clear" w:color="auto" w:fill="auto"/>
            <w:noWrap/>
            <w:vAlign w:val="center"/>
            <w:hideMark/>
          </w:tcPr>
          <w:p w:rsidR="009072DB" w:rsidRPr="009C238A" w:rsidRDefault="009072DB" w:rsidP="009072DB">
            <w:pPr>
              <w:rPr>
                <w:sz w:val="16"/>
                <w:szCs w:val="16"/>
                <w:lang w:val="en-US"/>
              </w:rPr>
            </w:pPr>
            <w:r w:rsidRPr="009C238A">
              <w:rPr>
                <w:sz w:val="16"/>
                <w:szCs w:val="16"/>
                <w:lang w:val="en-US"/>
              </w:rPr>
              <w:t>Consorzio Sobedia</w:t>
            </w:r>
          </w:p>
        </w:tc>
        <w:tc>
          <w:tcPr>
            <w:tcW w:w="608" w:type="pct"/>
            <w:tcBorders>
              <w:top w:val="nil"/>
              <w:left w:val="nil"/>
              <w:bottom w:val="single" w:sz="4" w:space="0" w:color="auto"/>
              <w:right w:val="nil"/>
            </w:tcBorders>
            <w:shd w:val="clear" w:color="auto" w:fill="auto"/>
            <w:vAlign w:val="center"/>
            <w:hideMark/>
          </w:tcPr>
          <w:p w:rsidR="009072DB" w:rsidRPr="009C238A" w:rsidRDefault="009072DB" w:rsidP="009072DB">
            <w:pPr>
              <w:rPr>
                <w:sz w:val="16"/>
                <w:szCs w:val="16"/>
                <w:lang w:val="en-US"/>
              </w:rPr>
            </w:pPr>
            <w:r w:rsidRPr="009C238A">
              <w:rPr>
                <w:sz w:val="16"/>
                <w:szCs w:val="16"/>
                <w:lang w:val="en-US"/>
              </w:rPr>
              <w:t>Saluggia (Italy)</w:t>
            </w:r>
          </w:p>
        </w:tc>
        <w:tc>
          <w:tcPr>
            <w:tcW w:w="40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center"/>
              <w:rPr>
                <w:b/>
                <w:bCs/>
                <w:sz w:val="16"/>
                <w:szCs w:val="16"/>
                <w:lang w:val="en-US"/>
              </w:rPr>
            </w:pPr>
            <w:r w:rsidRPr="009C238A">
              <w:rPr>
                <w:b/>
                <w:bCs/>
                <w:color w:val="000000" w:themeColor="text1"/>
                <w:sz w:val="16"/>
                <w:szCs w:val="16"/>
                <w:lang w:val="en-US"/>
              </w:rPr>
              <w:t>EUR</w:t>
            </w:r>
          </w:p>
        </w:tc>
        <w:tc>
          <w:tcPr>
            <w:tcW w:w="59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xml:space="preserve">                5,000 </w:t>
            </w:r>
          </w:p>
        </w:tc>
        <w:tc>
          <w:tcPr>
            <w:tcW w:w="588"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 xml:space="preserve">  N/A  </w:t>
            </w:r>
          </w:p>
        </w:tc>
        <w:tc>
          <w:tcPr>
            <w:tcW w:w="550" w:type="pct"/>
            <w:tcBorders>
              <w:top w:val="nil"/>
              <w:left w:val="nil"/>
              <w:bottom w:val="single" w:sz="4" w:space="0" w:color="auto"/>
              <w:right w:val="nil"/>
            </w:tcBorders>
            <w:shd w:val="clear" w:color="auto" w:fill="auto"/>
            <w:noWrap/>
            <w:vAlign w:val="center"/>
            <w:hideMark/>
          </w:tcPr>
          <w:p w:rsidR="009072DB" w:rsidRPr="009C238A" w:rsidRDefault="009072DB" w:rsidP="009072DB">
            <w:pPr>
              <w:jc w:val="right"/>
              <w:rPr>
                <w:sz w:val="16"/>
                <w:szCs w:val="16"/>
                <w:lang w:val="en-US"/>
              </w:rPr>
            </w:pPr>
            <w:r w:rsidRPr="009C238A">
              <w:rPr>
                <w:sz w:val="16"/>
                <w:szCs w:val="16"/>
                <w:lang w:val="en-US"/>
              </w:rPr>
              <w:t>20.00%</w:t>
            </w:r>
          </w:p>
        </w:tc>
      </w:tr>
    </w:tbl>
    <w:p w:rsidR="009072DB" w:rsidRPr="00706752" w:rsidRDefault="009072DB" w:rsidP="00706752">
      <w:pPr>
        <w:pStyle w:val="Titolo1"/>
      </w:pPr>
      <w:r w:rsidRPr="009C238A">
        <w:rPr>
          <w:highlight w:val="yellow"/>
        </w:rPr>
        <w:br w:type="page"/>
      </w:r>
      <w:bookmarkStart w:id="69" w:name="_Toc245837760"/>
      <w:r w:rsidRPr="00706752">
        <w:t>DECLARATION IN ACCORDANCE WITH THE SECOND SUBSECTION OF ART. 154-</w:t>
      </w:r>
      <w:r w:rsidRPr="00706752">
        <w:rPr>
          <w:i/>
          <w:iCs/>
        </w:rPr>
        <w:t>BIS</w:t>
      </w:r>
      <w:r w:rsidRPr="00706752">
        <w:t>, PART IV, TITLE III, SECOND PARAGRAPH, SECTION V-</w:t>
      </w:r>
      <w:r w:rsidRPr="00706752">
        <w:rPr>
          <w:i/>
          <w:iCs/>
        </w:rPr>
        <w:t>BIS</w:t>
      </w:r>
      <w:r w:rsidRPr="00706752">
        <w:t>, OF LEGISLATIVE DECREE NO. 58 OF FEBRUARY 24, 1998: “UNIFORM LAW ON FINANCIAL INTERMEDIATION ENACTED PURSUANT TO ARTICLES 8 AND 21 OF LAW NO. 52 OF FEBRUARY 6, 1996”</w:t>
      </w:r>
      <w:bookmarkEnd w:id="69"/>
      <w:r w:rsidRPr="00706752">
        <w:t xml:space="preserve"> </w:t>
      </w:r>
    </w:p>
    <w:p w:rsidR="009072DB" w:rsidRPr="009C238A" w:rsidRDefault="009072DB" w:rsidP="009072DB">
      <w:pPr>
        <w:pStyle w:val="Default"/>
        <w:jc w:val="both"/>
        <w:rPr>
          <w:rFonts w:ascii="Times New Roman" w:eastAsia="Times New Roman" w:cs="Times New Roman"/>
          <w:sz w:val="28"/>
          <w:szCs w:val="28"/>
          <w:lang w:val="en-US"/>
        </w:rPr>
      </w:pPr>
    </w:p>
    <w:p w:rsidR="009072DB" w:rsidRPr="009C238A" w:rsidRDefault="009072DB" w:rsidP="009072DB">
      <w:pPr>
        <w:jc w:val="both"/>
        <w:outlineLvl w:val="0"/>
        <w:rPr>
          <w:color w:val="000000"/>
          <w:lang w:val="en-US"/>
        </w:rPr>
      </w:pPr>
      <w:r w:rsidRPr="009C238A">
        <w:rPr>
          <w:color w:val="000000"/>
          <w:lang w:val="en-US"/>
        </w:rPr>
        <w:t>I, the undersigned, Luigi De Angelis, in my capacity as Corporate Acco</w:t>
      </w:r>
      <w:r w:rsidR="00F560BF" w:rsidRPr="009C238A">
        <w:rPr>
          <w:color w:val="000000"/>
          <w:lang w:val="en-US"/>
        </w:rPr>
        <w:t>unting Documents Officer of Dias</w:t>
      </w:r>
      <w:r w:rsidRPr="009C238A">
        <w:rPr>
          <w:color w:val="000000"/>
          <w:lang w:val="en-US"/>
        </w:rPr>
        <w:t xml:space="preserve">orin S.p.A. </w:t>
      </w:r>
    </w:p>
    <w:p w:rsidR="009072DB" w:rsidRPr="009C238A" w:rsidRDefault="009072DB" w:rsidP="009072DB">
      <w:pPr>
        <w:autoSpaceDE w:val="0"/>
        <w:autoSpaceDN w:val="0"/>
        <w:adjustRightInd w:val="0"/>
        <w:ind w:left="3540" w:firstLine="708"/>
        <w:jc w:val="both"/>
        <w:rPr>
          <w:color w:val="000000"/>
          <w:lang w:val="en-US"/>
        </w:rPr>
      </w:pPr>
    </w:p>
    <w:p w:rsidR="009072DB" w:rsidRPr="009C238A" w:rsidRDefault="009072DB" w:rsidP="009072DB">
      <w:pPr>
        <w:autoSpaceDE w:val="0"/>
        <w:autoSpaceDN w:val="0"/>
        <w:adjustRightInd w:val="0"/>
        <w:ind w:left="3540" w:firstLine="708"/>
        <w:jc w:val="both"/>
        <w:rPr>
          <w:color w:val="000000"/>
          <w:lang w:val="en-US"/>
        </w:rPr>
      </w:pPr>
    </w:p>
    <w:p w:rsidR="009072DB" w:rsidRPr="009C238A" w:rsidRDefault="009072DB" w:rsidP="009072DB">
      <w:pPr>
        <w:widowControl w:val="0"/>
        <w:autoSpaceDE w:val="0"/>
        <w:autoSpaceDN w:val="0"/>
        <w:adjustRightInd w:val="0"/>
        <w:jc w:val="both"/>
        <w:rPr>
          <w:b/>
          <w:bCs/>
          <w:color w:val="000000"/>
          <w:lang w:val="en-US"/>
        </w:rPr>
      </w:pPr>
      <w:r w:rsidRPr="009C238A">
        <w:rPr>
          <w:b/>
          <w:bCs/>
          <w:color w:val="000000"/>
          <w:lang w:val="en-US"/>
        </w:rPr>
        <w:t xml:space="preserve">                                                                           ATTEST </w:t>
      </w:r>
    </w:p>
    <w:p w:rsidR="009072DB" w:rsidRPr="009C238A" w:rsidRDefault="009072DB" w:rsidP="009072DB">
      <w:pPr>
        <w:widowControl w:val="0"/>
        <w:autoSpaceDE w:val="0"/>
        <w:autoSpaceDN w:val="0"/>
        <w:adjustRightInd w:val="0"/>
        <w:jc w:val="both"/>
        <w:rPr>
          <w:color w:val="000000"/>
          <w:lang w:val="en-US"/>
        </w:rPr>
      </w:pPr>
    </w:p>
    <w:p w:rsidR="009072DB" w:rsidRPr="009C238A" w:rsidRDefault="009072DB" w:rsidP="009072DB">
      <w:pPr>
        <w:widowControl w:val="0"/>
        <w:autoSpaceDE w:val="0"/>
        <w:autoSpaceDN w:val="0"/>
        <w:adjustRightInd w:val="0"/>
        <w:jc w:val="both"/>
        <w:rPr>
          <w:color w:val="000000"/>
          <w:lang w:val="en-US"/>
        </w:rPr>
      </w:pPr>
      <w:r w:rsidRPr="009C238A">
        <w:rPr>
          <w:color w:val="000000"/>
          <w:lang w:val="en-US"/>
        </w:rPr>
        <w:t>as required by the second subsection of Art. 154-</w:t>
      </w:r>
      <w:r w:rsidRPr="009C238A">
        <w:rPr>
          <w:i/>
          <w:iCs/>
          <w:color w:val="000000"/>
          <w:lang w:val="en-US"/>
        </w:rPr>
        <w:t>bis</w:t>
      </w:r>
      <w:r w:rsidRPr="009C238A">
        <w:rPr>
          <w:color w:val="000000"/>
          <w:lang w:val="en-US"/>
        </w:rPr>
        <w:t>, Part IV, Title III, Second Paragraph, Section V-</w:t>
      </w:r>
      <w:r w:rsidRPr="009C238A">
        <w:rPr>
          <w:i/>
          <w:iCs/>
          <w:color w:val="000000"/>
          <w:lang w:val="en-US"/>
        </w:rPr>
        <w:t>bis</w:t>
      </w:r>
      <w:r w:rsidRPr="009C238A">
        <w:rPr>
          <w:color w:val="000000"/>
          <w:lang w:val="en-US"/>
        </w:rPr>
        <w:t xml:space="preserve">, of Legislative Decree No. 58 of February 24, 1998, that, to the best of my knowledge, the financial information included in the present document corresponds to book of accounts and bookkeeping entries of the Company. </w:t>
      </w:r>
    </w:p>
    <w:p w:rsidR="009072DB" w:rsidRPr="009C238A" w:rsidRDefault="009072DB" w:rsidP="009072DB">
      <w:pPr>
        <w:widowControl w:val="0"/>
        <w:autoSpaceDE w:val="0"/>
        <w:autoSpaceDN w:val="0"/>
        <w:adjustRightInd w:val="0"/>
        <w:jc w:val="both"/>
        <w:rPr>
          <w:color w:val="000000"/>
          <w:lang w:val="en-US"/>
        </w:rPr>
      </w:pPr>
    </w:p>
    <w:p w:rsidR="009072DB" w:rsidRDefault="009072DB" w:rsidP="009072DB">
      <w:pPr>
        <w:widowControl w:val="0"/>
        <w:autoSpaceDE w:val="0"/>
        <w:autoSpaceDN w:val="0"/>
        <w:adjustRightInd w:val="0"/>
        <w:jc w:val="both"/>
        <w:rPr>
          <w:color w:val="000000"/>
          <w:lang w:val="en-US"/>
        </w:rPr>
      </w:pPr>
    </w:p>
    <w:p w:rsidR="00706752" w:rsidRPr="009C238A" w:rsidRDefault="00706752" w:rsidP="009072DB">
      <w:pPr>
        <w:widowControl w:val="0"/>
        <w:autoSpaceDE w:val="0"/>
        <w:autoSpaceDN w:val="0"/>
        <w:adjustRightInd w:val="0"/>
        <w:jc w:val="both"/>
        <w:rPr>
          <w:color w:val="000000"/>
          <w:lang w:val="en-US"/>
        </w:rPr>
      </w:pPr>
    </w:p>
    <w:p w:rsidR="009072DB" w:rsidRPr="009C238A" w:rsidRDefault="009072DB" w:rsidP="009072DB">
      <w:pPr>
        <w:widowControl w:val="0"/>
        <w:autoSpaceDE w:val="0"/>
        <w:autoSpaceDN w:val="0"/>
        <w:adjustRightInd w:val="0"/>
        <w:jc w:val="both"/>
        <w:rPr>
          <w:color w:val="000000"/>
          <w:lang w:val="en-US"/>
        </w:rPr>
      </w:pPr>
      <w:r w:rsidRPr="009C238A">
        <w:rPr>
          <w:color w:val="000000"/>
          <w:lang w:val="en-US"/>
        </w:rPr>
        <w:t xml:space="preserve">Saluggia, November 8, 2013. </w:t>
      </w:r>
    </w:p>
    <w:p w:rsidR="009072DB" w:rsidRPr="009C238A" w:rsidRDefault="009072DB" w:rsidP="009072DB">
      <w:pPr>
        <w:autoSpaceDE w:val="0"/>
        <w:autoSpaceDN w:val="0"/>
        <w:adjustRightInd w:val="0"/>
        <w:jc w:val="both"/>
        <w:rPr>
          <w:color w:val="000000"/>
          <w:lang w:val="en-US"/>
        </w:rPr>
      </w:pPr>
    </w:p>
    <w:p w:rsidR="009072DB" w:rsidRPr="009C238A" w:rsidRDefault="009072DB" w:rsidP="009072DB">
      <w:pPr>
        <w:autoSpaceDE w:val="0"/>
        <w:autoSpaceDN w:val="0"/>
        <w:adjustRightInd w:val="0"/>
        <w:jc w:val="both"/>
        <w:rPr>
          <w:color w:val="000000"/>
          <w:lang w:val="en-US"/>
        </w:rPr>
      </w:pPr>
    </w:p>
    <w:p w:rsidR="009072DB" w:rsidRPr="009C238A" w:rsidRDefault="009072DB" w:rsidP="009072DB">
      <w:pPr>
        <w:autoSpaceDE w:val="0"/>
        <w:autoSpaceDN w:val="0"/>
        <w:adjustRightInd w:val="0"/>
        <w:jc w:val="both"/>
        <w:rPr>
          <w:color w:val="000000"/>
          <w:lang w:val="en-US"/>
        </w:rPr>
      </w:pPr>
    </w:p>
    <w:p w:rsidR="009072DB" w:rsidRPr="009C238A" w:rsidRDefault="009072DB" w:rsidP="009072DB">
      <w:pPr>
        <w:autoSpaceDE w:val="0"/>
        <w:autoSpaceDN w:val="0"/>
        <w:adjustRightInd w:val="0"/>
        <w:jc w:val="both"/>
        <w:rPr>
          <w:color w:val="000000"/>
          <w:lang w:val="en-US"/>
        </w:rPr>
      </w:pPr>
    </w:p>
    <w:p w:rsidR="009072DB" w:rsidRPr="009C238A" w:rsidRDefault="009072DB" w:rsidP="009072DB">
      <w:pPr>
        <w:autoSpaceDE w:val="0"/>
        <w:autoSpaceDN w:val="0"/>
        <w:adjustRightInd w:val="0"/>
        <w:jc w:val="both"/>
        <w:rPr>
          <w:color w:val="000000"/>
          <w:lang w:val="en-US"/>
        </w:rPr>
      </w:pPr>
    </w:p>
    <w:p w:rsidR="009072DB" w:rsidRPr="009C238A" w:rsidRDefault="009072DB" w:rsidP="009072DB">
      <w:pPr>
        <w:autoSpaceDE w:val="0"/>
        <w:autoSpaceDN w:val="0"/>
        <w:adjustRightInd w:val="0"/>
        <w:ind w:left="4248"/>
        <w:jc w:val="both"/>
        <w:rPr>
          <w:color w:val="000000"/>
          <w:lang w:val="en-US"/>
        </w:rPr>
      </w:pPr>
      <w:r w:rsidRPr="009C238A">
        <w:rPr>
          <w:bCs/>
          <w:lang w:val="en-US" w:eastAsia="en-US"/>
        </w:rPr>
        <w:t xml:space="preserve">                           Luigi De Angelis</w:t>
      </w:r>
      <w:r w:rsidRPr="009C238A">
        <w:rPr>
          <w:color w:val="000000"/>
          <w:lang w:val="en-US"/>
        </w:rPr>
        <w:t xml:space="preserve"> </w:t>
      </w:r>
    </w:p>
    <w:p w:rsidR="009072DB" w:rsidRPr="009C238A" w:rsidRDefault="009072DB" w:rsidP="009072DB">
      <w:pPr>
        <w:autoSpaceDE w:val="0"/>
        <w:autoSpaceDN w:val="0"/>
        <w:adjustRightInd w:val="0"/>
        <w:ind w:left="4248"/>
        <w:jc w:val="both"/>
        <w:rPr>
          <w:color w:val="000000"/>
          <w:lang w:val="en-US"/>
        </w:rPr>
      </w:pPr>
    </w:p>
    <w:p w:rsidR="009072DB" w:rsidRPr="009C238A" w:rsidRDefault="009072DB" w:rsidP="009072DB">
      <w:pPr>
        <w:pStyle w:val="Default"/>
        <w:jc w:val="both"/>
        <w:rPr>
          <w:rFonts w:ascii="Times New Roman" w:eastAsia="Times New Roman" w:cs="Times New Roman"/>
          <w:lang w:val="en-US"/>
        </w:rPr>
      </w:pPr>
      <w:r w:rsidRPr="009C238A">
        <w:rPr>
          <w:lang w:val="en-US"/>
        </w:rPr>
        <w:tab/>
      </w:r>
      <w:r w:rsidRPr="009C238A">
        <w:rPr>
          <w:lang w:val="en-US"/>
        </w:rPr>
        <w:tab/>
      </w:r>
      <w:r w:rsidRPr="009C238A">
        <w:rPr>
          <w:lang w:val="en-US"/>
        </w:rPr>
        <w:tab/>
      </w:r>
      <w:r w:rsidRPr="009C238A">
        <w:rPr>
          <w:lang w:val="en-US"/>
        </w:rPr>
        <w:tab/>
      </w:r>
      <w:r w:rsidRPr="009C238A">
        <w:rPr>
          <w:lang w:val="en-US"/>
        </w:rPr>
        <w:tab/>
      </w:r>
      <w:r w:rsidRPr="009C238A">
        <w:rPr>
          <w:lang w:val="en-US"/>
        </w:rPr>
        <w:tab/>
      </w:r>
      <w:r w:rsidRPr="009C238A">
        <w:rPr>
          <w:lang w:val="en-US"/>
        </w:rPr>
        <w:tab/>
      </w:r>
      <w:r w:rsidRPr="009C238A">
        <w:rPr>
          <w:rFonts w:ascii="Times New Roman" w:cs="Times New Roman"/>
          <w:lang w:val="en-US"/>
        </w:rPr>
        <w:t>Corporate</w:t>
      </w:r>
      <w:r w:rsidRPr="009C238A">
        <w:rPr>
          <w:lang w:val="en-US"/>
        </w:rPr>
        <w:t xml:space="preserve"> </w:t>
      </w:r>
      <w:r w:rsidRPr="009C238A">
        <w:rPr>
          <w:rFonts w:ascii="Times New Roman" w:eastAsia="Times New Roman" w:cs="Times New Roman"/>
          <w:lang w:val="en-US"/>
        </w:rPr>
        <w:t>Accounting  Documents Officer</w:t>
      </w:r>
    </w:p>
    <w:p w:rsidR="009072DB" w:rsidRPr="009C238A" w:rsidRDefault="009072DB" w:rsidP="009072DB">
      <w:pPr>
        <w:pStyle w:val="Default"/>
        <w:ind w:left="4254" w:firstLine="709"/>
        <w:jc w:val="both"/>
        <w:rPr>
          <w:rFonts w:ascii="Times New Roman" w:eastAsia="Times New Roman" w:cs="Times New Roman"/>
          <w:lang w:val="en-US"/>
        </w:rPr>
      </w:pPr>
      <w:r w:rsidRPr="009C238A">
        <w:rPr>
          <w:rFonts w:ascii="Times New Roman" w:eastAsia="Times New Roman" w:cs="Times New Roman"/>
          <w:lang w:val="en-US"/>
        </w:rPr>
        <w:t xml:space="preserve">                  </w:t>
      </w:r>
      <w:r w:rsidRPr="009C238A">
        <w:rPr>
          <w:rFonts w:ascii="Times New Roman" w:cs="Times New Roman"/>
          <w:lang w:val="en-US"/>
        </w:rPr>
        <w:t>DIASORIN S.p.A.</w:t>
      </w:r>
    </w:p>
    <w:p w:rsidR="009072DB" w:rsidRPr="009C238A" w:rsidRDefault="009072DB" w:rsidP="009072DB">
      <w:pPr>
        <w:tabs>
          <w:tab w:val="left" w:pos="567"/>
          <w:tab w:val="left" w:pos="1134"/>
          <w:tab w:val="left" w:pos="1702"/>
          <w:tab w:val="left" w:pos="2269"/>
          <w:tab w:val="left" w:pos="2835"/>
          <w:tab w:val="left" w:pos="3402"/>
          <w:tab w:val="left" w:pos="3969"/>
        </w:tabs>
        <w:ind w:right="-1"/>
        <w:jc w:val="both"/>
        <w:rPr>
          <w:lang w:val="en-US"/>
        </w:rPr>
      </w:pPr>
    </w:p>
    <w:p w:rsidR="009072DB" w:rsidRPr="009C238A" w:rsidRDefault="009072DB" w:rsidP="009072DB">
      <w:pPr>
        <w:jc w:val="both"/>
        <w:rPr>
          <w:lang w:val="en-US"/>
        </w:rPr>
      </w:pPr>
    </w:p>
    <w:p w:rsidR="009072DB" w:rsidRPr="009C238A" w:rsidRDefault="009072DB" w:rsidP="009072DB">
      <w:pPr>
        <w:jc w:val="both"/>
        <w:outlineLvl w:val="0"/>
        <w:rPr>
          <w:lang w:val="en-US"/>
        </w:rPr>
      </w:pPr>
    </w:p>
    <w:p w:rsidR="009072DB" w:rsidRPr="009C238A" w:rsidRDefault="009072DB" w:rsidP="009072DB">
      <w:pPr>
        <w:tabs>
          <w:tab w:val="left" w:pos="2900"/>
        </w:tabs>
        <w:rPr>
          <w:lang w:val="en-US"/>
        </w:rPr>
      </w:pPr>
    </w:p>
    <w:p w:rsidR="00A2539B" w:rsidRPr="009C238A" w:rsidRDefault="00A2539B" w:rsidP="009072DB">
      <w:pPr>
        <w:pStyle w:val="Intestazione"/>
        <w:tabs>
          <w:tab w:val="clear" w:pos="4819"/>
          <w:tab w:val="left" w:pos="240"/>
          <w:tab w:val="center" w:pos="1843"/>
        </w:tabs>
        <w:jc w:val="both"/>
        <w:rPr>
          <w:lang w:val="en-US"/>
        </w:rPr>
      </w:pPr>
    </w:p>
    <w:sectPr w:rsidR="00A2539B" w:rsidRPr="009C238A" w:rsidSect="00A2539B">
      <w:pgSz w:w="11900" w:h="16840"/>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493" w:rsidRDefault="00EE0493" w:rsidP="009072DB">
      <w:r>
        <w:separator/>
      </w:r>
    </w:p>
  </w:endnote>
  <w:endnote w:type="continuationSeparator" w:id="0">
    <w:p w:rsidR="00EE0493" w:rsidRDefault="00EE0493" w:rsidP="009072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Ìç’'1">
    <w:altName w:val="Cambria"/>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E3619E" w:rsidP="009072DB">
    <w:pPr>
      <w:pStyle w:val="Pidipagina"/>
      <w:framePr w:wrap="around" w:vAnchor="text" w:hAnchor="margin" w:xAlign="center" w:y="1"/>
      <w:rPr>
        <w:rStyle w:val="Numeropagina"/>
      </w:rPr>
    </w:pPr>
    <w:r>
      <w:rPr>
        <w:rStyle w:val="Numeropagina"/>
      </w:rPr>
      <w:fldChar w:fldCharType="begin"/>
    </w:r>
    <w:r w:rsidR="00826E1D">
      <w:rPr>
        <w:rStyle w:val="Numeropagina"/>
      </w:rPr>
      <w:instrText xml:space="preserve">PAGE  </w:instrText>
    </w:r>
    <w:r>
      <w:rPr>
        <w:rStyle w:val="Numeropagina"/>
      </w:rPr>
      <w:fldChar w:fldCharType="end"/>
    </w:r>
  </w:p>
  <w:p w:rsidR="00826E1D" w:rsidRDefault="00826E1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E3619E" w:rsidP="009072DB">
    <w:pPr>
      <w:pStyle w:val="Pidipagina"/>
      <w:framePr w:wrap="around" w:vAnchor="text" w:hAnchor="margin" w:xAlign="center" w:y="1"/>
      <w:rPr>
        <w:rStyle w:val="Numeropagina"/>
      </w:rPr>
    </w:pPr>
    <w:r>
      <w:rPr>
        <w:rStyle w:val="Numeropagina"/>
      </w:rPr>
      <w:fldChar w:fldCharType="begin"/>
    </w:r>
    <w:r w:rsidR="00826E1D">
      <w:rPr>
        <w:rStyle w:val="Numeropagina"/>
      </w:rPr>
      <w:instrText xml:space="preserve">PAGE  </w:instrText>
    </w:r>
    <w:r>
      <w:rPr>
        <w:rStyle w:val="Numeropagina"/>
      </w:rPr>
      <w:fldChar w:fldCharType="separate"/>
    </w:r>
    <w:r w:rsidR="00ED68F1">
      <w:rPr>
        <w:rStyle w:val="Numeropagina"/>
        <w:noProof/>
      </w:rPr>
      <w:t>6</w:t>
    </w:r>
    <w:r>
      <w:rPr>
        <w:rStyle w:val="Numeropagina"/>
      </w:rPr>
      <w:fldChar w:fldCharType="end"/>
    </w:r>
  </w:p>
  <w:p w:rsidR="00826E1D" w:rsidRDefault="00826E1D">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826E1D">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E3619E" w:rsidP="009072DB">
    <w:pPr>
      <w:pStyle w:val="Pidipagina"/>
      <w:framePr w:wrap="around" w:vAnchor="text" w:hAnchor="margin" w:xAlign="center" w:y="1"/>
      <w:rPr>
        <w:rStyle w:val="Numeropagina"/>
      </w:rPr>
    </w:pPr>
    <w:r>
      <w:rPr>
        <w:rStyle w:val="Numeropagina"/>
      </w:rPr>
      <w:fldChar w:fldCharType="begin"/>
    </w:r>
    <w:r w:rsidR="00826E1D">
      <w:rPr>
        <w:rStyle w:val="Numeropagina"/>
      </w:rPr>
      <w:instrText xml:space="preserve">PAGE  </w:instrText>
    </w:r>
    <w:r>
      <w:rPr>
        <w:rStyle w:val="Numeropagina"/>
      </w:rPr>
      <w:fldChar w:fldCharType="end"/>
    </w:r>
  </w:p>
  <w:p w:rsidR="00826E1D" w:rsidRDefault="00826E1D">
    <w:pPr>
      <w:pStyle w:val="Pidipa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E3619E" w:rsidP="009072DB">
    <w:pPr>
      <w:pStyle w:val="Pidipagina"/>
      <w:framePr w:wrap="around" w:vAnchor="text" w:hAnchor="margin" w:xAlign="center" w:y="1"/>
      <w:rPr>
        <w:rStyle w:val="Numeropagina"/>
      </w:rPr>
    </w:pPr>
    <w:r>
      <w:rPr>
        <w:rStyle w:val="Numeropagina"/>
      </w:rPr>
      <w:fldChar w:fldCharType="begin"/>
    </w:r>
    <w:r w:rsidR="00826E1D">
      <w:rPr>
        <w:rStyle w:val="Numeropagina"/>
      </w:rPr>
      <w:instrText xml:space="preserve">PAGE  </w:instrText>
    </w:r>
    <w:r>
      <w:rPr>
        <w:rStyle w:val="Numeropagina"/>
      </w:rPr>
      <w:fldChar w:fldCharType="separate"/>
    </w:r>
    <w:r w:rsidR="00ED68F1">
      <w:rPr>
        <w:rStyle w:val="Numeropagina"/>
        <w:noProof/>
      </w:rPr>
      <w:t>36</w:t>
    </w:r>
    <w:r>
      <w:rPr>
        <w:rStyle w:val="Numeropagina"/>
      </w:rPr>
      <w:fldChar w:fldCharType="end"/>
    </w:r>
  </w:p>
  <w:p w:rsidR="00826E1D" w:rsidRDefault="00826E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493" w:rsidRDefault="00EE0493" w:rsidP="009072DB">
      <w:r>
        <w:separator/>
      </w:r>
    </w:p>
  </w:footnote>
  <w:footnote w:type="continuationSeparator" w:id="0">
    <w:p w:rsidR="00EE0493" w:rsidRDefault="00EE0493" w:rsidP="009072DB">
      <w:r>
        <w:continuationSeparator/>
      </w:r>
    </w:p>
  </w:footnote>
  <w:footnote w:id="1">
    <w:p w:rsidR="00826E1D" w:rsidRPr="008D771F" w:rsidRDefault="00826E1D" w:rsidP="009072DB">
      <w:pPr>
        <w:pStyle w:val="Testonotaapidipagina"/>
        <w:rPr>
          <w:lang w:val="en-GB"/>
        </w:rPr>
      </w:pPr>
      <w:r w:rsidRPr="008D771F">
        <w:rPr>
          <w:rStyle w:val="Rimandonotaapidipagina"/>
          <w:lang w:val="en-GB"/>
        </w:rPr>
        <w:footnoteRef/>
      </w:r>
      <w:r w:rsidRPr="008D771F">
        <w:rPr>
          <w:lang w:val="en-GB"/>
        </w:rPr>
        <w:t xml:space="preserve"> Source Assobiomedica. Latest </w:t>
      </w:r>
      <w:r>
        <w:rPr>
          <w:lang w:val="en-GB"/>
        </w:rPr>
        <w:t>2013 data available</w:t>
      </w:r>
      <w:r w:rsidRPr="008D771F">
        <w:rPr>
          <w:lang w:val="en-GB"/>
        </w:rPr>
        <w:t xml:space="preserve"> </w:t>
      </w:r>
    </w:p>
  </w:footnote>
  <w:footnote w:id="2">
    <w:p w:rsidR="00826E1D" w:rsidRPr="000F56BB" w:rsidRDefault="00826E1D" w:rsidP="009072DB">
      <w:pPr>
        <w:pStyle w:val="Testonotaapidipagina"/>
        <w:rPr>
          <w:lang w:val="en-US"/>
        </w:rPr>
      </w:pPr>
      <w:r>
        <w:rPr>
          <w:rStyle w:val="Rimandonotaapidipagina"/>
        </w:rPr>
        <w:footnoteRef/>
      </w:r>
      <w:r w:rsidRPr="000F56BB">
        <w:rPr>
          <w:lang w:val="en-US"/>
        </w:rPr>
        <w:t xml:space="preserve"> Source EDMA. </w:t>
      </w:r>
      <w:r w:rsidRPr="008D771F">
        <w:rPr>
          <w:lang w:val="en-GB"/>
        </w:rPr>
        <w:t xml:space="preserve">Latest </w:t>
      </w:r>
      <w:r>
        <w:rPr>
          <w:lang w:val="en-GB"/>
        </w:rPr>
        <w:t>2013 data available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826E1D">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826E1D" w:rsidP="009072DB">
    <w:pPr>
      <w:pStyle w:val="Intestazione"/>
      <w:tabs>
        <w:tab w:val="left" w:pos="567"/>
        <w:tab w:val="left" w:pos="1134"/>
      </w:tabs>
      <w:rPr>
        <w:b/>
        <w:bCs/>
        <w:spacing w:val="6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826E1D">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E1D" w:rsidRDefault="00826E1D">
    <w:pPr>
      <w:pStyle w:val="Intestazione"/>
      <w:tabs>
        <w:tab w:val="left" w:pos="567"/>
        <w:tab w:val="left" w:pos="1134"/>
      </w:tabs>
      <w:rPr>
        <w:b/>
        <w:bCs/>
        <w:spacing w:val="6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444E8"/>
    <w:multiLevelType w:val="hybridMultilevel"/>
    <w:tmpl w:val="80AA92B0"/>
    <w:lvl w:ilvl="0" w:tplc="FB2A46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34927"/>
    <w:multiLevelType w:val="hybridMultilevel"/>
    <w:tmpl w:val="DDDAA69A"/>
    <w:lvl w:ilvl="0" w:tplc="D4C66FA0">
      <w:start w:val="2"/>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16019E4"/>
    <w:multiLevelType w:val="hybridMultilevel"/>
    <w:tmpl w:val="E0CC8B8E"/>
    <w:lvl w:ilvl="0" w:tplc="183E42D2">
      <w:start w:val="1"/>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3E7194F"/>
    <w:multiLevelType w:val="hybridMultilevel"/>
    <w:tmpl w:val="FEA0FE3C"/>
    <w:lvl w:ilvl="0" w:tplc="FB2A46D4">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5655254"/>
    <w:multiLevelType w:val="hybridMultilevel"/>
    <w:tmpl w:val="19E49762"/>
    <w:lvl w:ilvl="0" w:tplc="FB2A46D4">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DF4331F"/>
    <w:multiLevelType w:val="hybridMultilevel"/>
    <w:tmpl w:val="F9A4BD4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60347E5"/>
    <w:multiLevelType w:val="hybridMultilevel"/>
    <w:tmpl w:val="14D6CA84"/>
    <w:lvl w:ilvl="0" w:tplc="5820436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17B553A"/>
    <w:multiLevelType w:val="hybridMultilevel"/>
    <w:tmpl w:val="7A1CE76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nsid w:val="42BA14B7"/>
    <w:multiLevelType w:val="hybridMultilevel"/>
    <w:tmpl w:val="52305F58"/>
    <w:lvl w:ilvl="0" w:tplc="7792B0DA">
      <w:start w:val="1"/>
      <w:numFmt w:val="lowerRoman"/>
      <w:lvlText w:val="%1)"/>
      <w:lvlJc w:val="left"/>
      <w:pPr>
        <w:ind w:left="780" w:hanging="72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9">
    <w:nsid w:val="43456031"/>
    <w:multiLevelType w:val="hybridMultilevel"/>
    <w:tmpl w:val="1752EC58"/>
    <w:lvl w:ilvl="0" w:tplc="945ACCD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18A6B9A"/>
    <w:multiLevelType w:val="hybridMultilevel"/>
    <w:tmpl w:val="14D6CA84"/>
    <w:lvl w:ilvl="0" w:tplc="5820436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8353E14"/>
    <w:multiLevelType w:val="hybridMultilevel"/>
    <w:tmpl w:val="906276C2"/>
    <w:lvl w:ilvl="0" w:tplc="945ACCDA">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nsid w:val="5C8104B8"/>
    <w:multiLevelType w:val="hybridMultilevel"/>
    <w:tmpl w:val="231430AA"/>
    <w:lvl w:ilvl="0" w:tplc="FFFFFFFF">
      <w:start w:val="1"/>
      <w:numFmt w:val="bullet"/>
      <w:pStyle w:val="22nd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CDC3AAC"/>
    <w:multiLevelType w:val="hybridMultilevel"/>
    <w:tmpl w:val="43F0B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FE518D5"/>
    <w:multiLevelType w:val="hybridMultilevel"/>
    <w:tmpl w:val="04C44380"/>
    <w:lvl w:ilvl="0" w:tplc="40A2DA3E">
      <w:start w:val="1"/>
      <w:numFmt w:val="lowerRoman"/>
      <w:lvlText w:val="%1)"/>
      <w:lvlJc w:val="left"/>
      <w:pPr>
        <w:ind w:left="780" w:hanging="72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15">
    <w:nsid w:val="64BF379C"/>
    <w:multiLevelType w:val="hybridMultilevel"/>
    <w:tmpl w:val="1234B4D2"/>
    <w:lvl w:ilvl="0" w:tplc="04100001">
      <w:start w:val="1"/>
      <w:numFmt w:val="lowerRoman"/>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6">
    <w:nsid w:val="68111581"/>
    <w:multiLevelType w:val="hybridMultilevel"/>
    <w:tmpl w:val="C4102FF8"/>
    <w:lvl w:ilvl="0" w:tplc="79402ABC">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
    <w:nsid w:val="6F00233B"/>
    <w:multiLevelType w:val="hybridMultilevel"/>
    <w:tmpl w:val="0E4CF7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F9D3C65"/>
    <w:multiLevelType w:val="hybridMultilevel"/>
    <w:tmpl w:val="4A76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886CE7"/>
    <w:multiLevelType w:val="hybridMultilevel"/>
    <w:tmpl w:val="E9DE9C58"/>
    <w:lvl w:ilvl="0" w:tplc="D4C66FA0">
      <w:start w:val="2"/>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6"/>
  </w:num>
  <w:num w:numId="4">
    <w:abstractNumId w:val="8"/>
  </w:num>
  <w:num w:numId="5">
    <w:abstractNumId w:val="14"/>
  </w:num>
  <w:num w:numId="6">
    <w:abstractNumId w:val="10"/>
  </w:num>
  <w:num w:numId="7">
    <w:abstractNumId w:val="6"/>
  </w:num>
  <w:num w:numId="8">
    <w:abstractNumId w:val="11"/>
  </w:num>
  <w:num w:numId="9">
    <w:abstractNumId w:val="9"/>
  </w:num>
  <w:num w:numId="10">
    <w:abstractNumId w:val="13"/>
  </w:num>
  <w:num w:numId="11">
    <w:abstractNumId w:val="0"/>
  </w:num>
  <w:num w:numId="12">
    <w:abstractNumId w:val="15"/>
  </w:num>
  <w:num w:numId="13">
    <w:abstractNumId w:val="17"/>
  </w:num>
  <w:num w:numId="14">
    <w:abstractNumId w:val="18"/>
  </w:num>
  <w:num w:numId="15">
    <w:abstractNumId w:val="7"/>
  </w:num>
  <w:num w:numId="16">
    <w:abstractNumId w:val="5"/>
  </w:num>
  <w:num w:numId="17">
    <w:abstractNumId w:val="1"/>
  </w:num>
  <w:num w:numId="18">
    <w:abstractNumId w:val="2"/>
  </w:num>
  <w:num w:numId="19">
    <w:abstractNumId w:val="4"/>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283"/>
  <w:characterSpacingControl w:val="doNotCompress"/>
  <w:hdrShapeDefaults>
    <o:shapedefaults v:ext="edit" spidmax="5122"/>
  </w:hdrShapeDefaults>
  <w:footnotePr>
    <w:footnote w:id="-1"/>
    <w:footnote w:id="0"/>
  </w:footnotePr>
  <w:endnotePr>
    <w:endnote w:id="-1"/>
    <w:endnote w:id="0"/>
  </w:endnotePr>
  <w:compat>
    <w:useFELayout/>
  </w:compat>
  <w:docVars>
    <w:docVar w:name="APWAFVersion" w:val="5.0"/>
  </w:docVars>
  <w:rsids>
    <w:rsidRoot w:val="009072DB"/>
    <w:rsid w:val="00042627"/>
    <w:rsid w:val="0004511A"/>
    <w:rsid w:val="000476BC"/>
    <w:rsid w:val="00056C69"/>
    <w:rsid w:val="00062270"/>
    <w:rsid w:val="00071942"/>
    <w:rsid w:val="000777C4"/>
    <w:rsid w:val="000A6625"/>
    <w:rsid w:val="000C1082"/>
    <w:rsid w:val="000F0ED2"/>
    <w:rsid w:val="000F56BB"/>
    <w:rsid w:val="00102026"/>
    <w:rsid w:val="0011314E"/>
    <w:rsid w:val="00115DA3"/>
    <w:rsid w:val="0011612E"/>
    <w:rsid w:val="00117329"/>
    <w:rsid w:val="00123D0B"/>
    <w:rsid w:val="00143CFE"/>
    <w:rsid w:val="001570D4"/>
    <w:rsid w:val="001677D0"/>
    <w:rsid w:val="00174FF8"/>
    <w:rsid w:val="00176FDF"/>
    <w:rsid w:val="00180D93"/>
    <w:rsid w:val="0018449D"/>
    <w:rsid w:val="001964D9"/>
    <w:rsid w:val="001977ED"/>
    <w:rsid w:val="001C64A6"/>
    <w:rsid w:val="001E242B"/>
    <w:rsid w:val="001F0A48"/>
    <w:rsid w:val="001F1417"/>
    <w:rsid w:val="00214A0B"/>
    <w:rsid w:val="00222FD9"/>
    <w:rsid w:val="002452DF"/>
    <w:rsid w:val="0024706E"/>
    <w:rsid w:val="0026633D"/>
    <w:rsid w:val="00273C4A"/>
    <w:rsid w:val="00274471"/>
    <w:rsid w:val="0029421D"/>
    <w:rsid w:val="00297CF4"/>
    <w:rsid w:val="002A1C02"/>
    <w:rsid w:val="002A2C16"/>
    <w:rsid w:val="002C0708"/>
    <w:rsid w:val="002E26D1"/>
    <w:rsid w:val="002E548F"/>
    <w:rsid w:val="002E7022"/>
    <w:rsid w:val="00311CBB"/>
    <w:rsid w:val="00323EC7"/>
    <w:rsid w:val="003353AF"/>
    <w:rsid w:val="003418C6"/>
    <w:rsid w:val="00341CB3"/>
    <w:rsid w:val="00357AAE"/>
    <w:rsid w:val="00365974"/>
    <w:rsid w:val="00366BA2"/>
    <w:rsid w:val="0038626F"/>
    <w:rsid w:val="003C6221"/>
    <w:rsid w:val="003D5AB0"/>
    <w:rsid w:val="003E0C79"/>
    <w:rsid w:val="004037AD"/>
    <w:rsid w:val="00413263"/>
    <w:rsid w:val="004143E5"/>
    <w:rsid w:val="00417EA1"/>
    <w:rsid w:val="00422CC5"/>
    <w:rsid w:val="00433251"/>
    <w:rsid w:val="00441006"/>
    <w:rsid w:val="004432EB"/>
    <w:rsid w:val="00494DE0"/>
    <w:rsid w:val="00495B11"/>
    <w:rsid w:val="004A428D"/>
    <w:rsid w:val="004C6914"/>
    <w:rsid w:val="004D7334"/>
    <w:rsid w:val="00500617"/>
    <w:rsid w:val="00501D52"/>
    <w:rsid w:val="00514627"/>
    <w:rsid w:val="00526038"/>
    <w:rsid w:val="0054700E"/>
    <w:rsid w:val="00554241"/>
    <w:rsid w:val="00565BC1"/>
    <w:rsid w:val="00582183"/>
    <w:rsid w:val="00585DF5"/>
    <w:rsid w:val="005A5471"/>
    <w:rsid w:val="005C02C3"/>
    <w:rsid w:val="005C347E"/>
    <w:rsid w:val="005C3D97"/>
    <w:rsid w:val="00613A4B"/>
    <w:rsid w:val="00614AF2"/>
    <w:rsid w:val="00617D2E"/>
    <w:rsid w:val="00625CB4"/>
    <w:rsid w:val="006263D0"/>
    <w:rsid w:val="006273A7"/>
    <w:rsid w:val="006369D4"/>
    <w:rsid w:val="0064449C"/>
    <w:rsid w:val="006549D9"/>
    <w:rsid w:val="0065541F"/>
    <w:rsid w:val="00657FAD"/>
    <w:rsid w:val="0067126E"/>
    <w:rsid w:val="00672CDF"/>
    <w:rsid w:val="00680A30"/>
    <w:rsid w:val="00682A58"/>
    <w:rsid w:val="00687076"/>
    <w:rsid w:val="006A22C8"/>
    <w:rsid w:val="006B006A"/>
    <w:rsid w:val="006D52F2"/>
    <w:rsid w:val="006D71EB"/>
    <w:rsid w:val="006E6899"/>
    <w:rsid w:val="00706752"/>
    <w:rsid w:val="007149A3"/>
    <w:rsid w:val="00751604"/>
    <w:rsid w:val="00783155"/>
    <w:rsid w:val="0078394A"/>
    <w:rsid w:val="0079373A"/>
    <w:rsid w:val="00794EA8"/>
    <w:rsid w:val="007B6C25"/>
    <w:rsid w:val="007C0773"/>
    <w:rsid w:val="007C17EB"/>
    <w:rsid w:val="007C7996"/>
    <w:rsid w:val="007D0CB2"/>
    <w:rsid w:val="007D44B0"/>
    <w:rsid w:val="00815361"/>
    <w:rsid w:val="008174ED"/>
    <w:rsid w:val="00826E1D"/>
    <w:rsid w:val="008351E3"/>
    <w:rsid w:val="008419E3"/>
    <w:rsid w:val="008455D3"/>
    <w:rsid w:val="00846557"/>
    <w:rsid w:val="00865645"/>
    <w:rsid w:val="00866117"/>
    <w:rsid w:val="0087088B"/>
    <w:rsid w:val="008C78D4"/>
    <w:rsid w:val="008D78DB"/>
    <w:rsid w:val="00902174"/>
    <w:rsid w:val="00902502"/>
    <w:rsid w:val="009072DB"/>
    <w:rsid w:val="0091114E"/>
    <w:rsid w:val="00917DA3"/>
    <w:rsid w:val="00923B29"/>
    <w:rsid w:val="00927DCE"/>
    <w:rsid w:val="009432C5"/>
    <w:rsid w:val="00944F34"/>
    <w:rsid w:val="0095015B"/>
    <w:rsid w:val="009731CB"/>
    <w:rsid w:val="00995327"/>
    <w:rsid w:val="009A5139"/>
    <w:rsid w:val="009A56F5"/>
    <w:rsid w:val="009B7F84"/>
    <w:rsid w:val="009C238A"/>
    <w:rsid w:val="009F2B80"/>
    <w:rsid w:val="009F71FB"/>
    <w:rsid w:val="00A0018A"/>
    <w:rsid w:val="00A017D6"/>
    <w:rsid w:val="00A01A3B"/>
    <w:rsid w:val="00A11B4C"/>
    <w:rsid w:val="00A2539B"/>
    <w:rsid w:val="00A27379"/>
    <w:rsid w:val="00A36B65"/>
    <w:rsid w:val="00A43E76"/>
    <w:rsid w:val="00A45AAD"/>
    <w:rsid w:val="00A93F31"/>
    <w:rsid w:val="00A95B29"/>
    <w:rsid w:val="00AA629D"/>
    <w:rsid w:val="00AC7FD7"/>
    <w:rsid w:val="00AD072C"/>
    <w:rsid w:val="00AD3AC3"/>
    <w:rsid w:val="00AF3D85"/>
    <w:rsid w:val="00AF51A2"/>
    <w:rsid w:val="00AF650F"/>
    <w:rsid w:val="00B00F7D"/>
    <w:rsid w:val="00B107C0"/>
    <w:rsid w:val="00B11D40"/>
    <w:rsid w:val="00B31B5A"/>
    <w:rsid w:val="00B426FA"/>
    <w:rsid w:val="00B53310"/>
    <w:rsid w:val="00B53766"/>
    <w:rsid w:val="00B63713"/>
    <w:rsid w:val="00B758AF"/>
    <w:rsid w:val="00B7711B"/>
    <w:rsid w:val="00B80A60"/>
    <w:rsid w:val="00B85702"/>
    <w:rsid w:val="00B92E9D"/>
    <w:rsid w:val="00B978CB"/>
    <w:rsid w:val="00BB7C63"/>
    <w:rsid w:val="00BD1F5E"/>
    <w:rsid w:val="00BD28B9"/>
    <w:rsid w:val="00BD573A"/>
    <w:rsid w:val="00BD6829"/>
    <w:rsid w:val="00BE4A79"/>
    <w:rsid w:val="00C02A60"/>
    <w:rsid w:val="00C33DE0"/>
    <w:rsid w:val="00C463A7"/>
    <w:rsid w:val="00C47AE7"/>
    <w:rsid w:val="00C56BCD"/>
    <w:rsid w:val="00C61AAC"/>
    <w:rsid w:val="00C643BE"/>
    <w:rsid w:val="00C7127F"/>
    <w:rsid w:val="00C844ED"/>
    <w:rsid w:val="00CA79D1"/>
    <w:rsid w:val="00CB35FD"/>
    <w:rsid w:val="00CC3264"/>
    <w:rsid w:val="00CC40C2"/>
    <w:rsid w:val="00CE62DC"/>
    <w:rsid w:val="00CF148D"/>
    <w:rsid w:val="00CF1FAC"/>
    <w:rsid w:val="00CF46D1"/>
    <w:rsid w:val="00D02130"/>
    <w:rsid w:val="00D70CC4"/>
    <w:rsid w:val="00D76834"/>
    <w:rsid w:val="00D82092"/>
    <w:rsid w:val="00D86A6E"/>
    <w:rsid w:val="00D944DF"/>
    <w:rsid w:val="00D97CD0"/>
    <w:rsid w:val="00DA01A3"/>
    <w:rsid w:val="00DA4937"/>
    <w:rsid w:val="00DB0617"/>
    <w:rsid w:val="00DB3065"/>
    <w:rsid w:val="00DC4789"/>
    <w:rsid w:val="00DE6F17"/>
    <w:rsid w:val="00DF5AF0"/>
    <w:rsid w:val="00DF7228"/>
    <w:rsid w:val="00E05FBB"/>
    <w:rsid w:val="00E06A1C"/>
    <w:rsid w:val="00E26C2A"/>
    <w:rsid w:val="00E3619E"/>
    <w:rsid w:val="00EA42FF"/>
    <w:rsid w:val="00EA4C28"/>
    <w:rsid w:val="00EC68CC"/>
    <w:rsid w:val="00ED68F1"/>
    <w:rsid w:val="00EE0493"/>
    <w:rsid w:val="00EE3BA7"/>
    <w:rsid w:val="00EE5DC7"/>
    <w:rsid w:val="00EE68DD"/>
    <w:rsid w:val="00EF4F47"/>
    <w:rsid w:val="00F05D64"/>
    <w:rsid w:val="00F11DD1"/>
    <w:rsid w:val="00F23281"/>
    <w:rsid w:val="00F26C32"/>
    <w:rsid w:val="00F3117E"/>
    <w:rsid w:val="00F367D3"/>
    <w:rsid w:val="00F41CAE"/>
    <w:rsid w:val="00F44D72"/>
    <w:rsid w:val="00F560BF"/>
    <w:rsid w:val="00F60982"/>
    <w:rsid w:val="00F81FE7"/>
    <w:rsid w:val="00F823EC"/>
    <w:rsid w:val="00FE5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72DB"/>
    <w:rPr>
      <w:rFonts w:ascii="Times New Roman" w:eastAsia="Times New Roman" w:hAnsi="Times New Roman" w:cs="Times New Roman"/>
    </w:rPr>
  </w:style>
  <w:style w:type="paragraph" w:styleId="Titolo1">
    <w:name w:val="heading 1"/>
    <w:basedOn w:val="Normale"/>
    <w:next w:val="Normale"/>
    <w:link w:val="Titolo1Carattere"/>
    <w:uiPriority w:val="99"/>
    <w:qFormat/>
    <w:rsid w:val="00CF46D1"/>
    <w:pPr>
      <w:tabs>
        <w:tab w:val="num" w:pos="432"/>
      </w:tabs>
      <w:spacing w:before="240"/>
      <w:jc w:val="both"/>
      <w:outlineLvl w:val="0"/>
    </w:pPr>
    <w:rPr>
      <w:b/>
      <w:bCs/>
      <w:lang w:val="en-US" w:eastAsia="en-US"/>
    </w:rPr>
  </w:style>
  <w:style w:type="paragraph" w:styleId="Titolo2">
    <w:name w:val="heading 2"/>
    <w:basedOn w:val="Normale"/>
    <w:next w:val="Normale"/>
    <w:link w:val="Titolo2Carattere"/>
    <w:uiPriority w:val="99"/>
    <w:qFormat/>
    <w:rsid w:val="00143CFE"/>
    <w:pPr>
      <w:tabs>
        <w:tab w:val="num" w:pos="576"/>
      </w:tabs>
      <w:spacing w:before="120"/>
      <w:ind w:left="576" w:hanging="576"/>
      <w:jc w:val="both"/>
      <w:outlineLvl w:val="1"/>
    </w:pPr>
    <w:rPr>
      <w:bCs/>
      <w:lang w:val="en-US" w:eastAsia="en-US"/>
    </w:rPr>
  </w:style>
  <w:style w:type="paragraph" w:styleId="Titolo3">
    <w:name w:val="heading 3"/>
    <w:basedOn w:val="Normale"/>
    <w:next w:val="Rientronormale"/>
    <w:link w:val="Titolo3Carattere"/>
    <w:uiPriority w:val="99"/>
    <w:qFormat/>
    <w:rsid w:val="009072DB"/>
    <w:pPr>
      <w:tabs>
        <w:tab w:val="num" w:pos="720"/>
      </w:tabs>
      <w:ind w:left="720" w:hanging="720"/>
      <w:outlineLvl w:val="2"/>
    </w:pPr>
    <w:rPr>
      <w:b/>
      <w:bCs/>
      <w:lang w:eastAsia="en-US"/>
    </w:rPr>
  </w:style>
  <w:style w:type="paragraph" w:styleId="Titolo4">
    <w:name w:val="heading 4"/>
    <w:basedOn w:val="Normale"/>
    <w:next w:val="Rientronormale"/>
    <w:link w:val="Titolo4Carattere"/>
    <w:uiPriority w:val="99"/>
    <w:qFormat/>
    <w:rsid w:val="009072DB"/>
    <w:pPr>
      <w:tabs>
        <w:tab w:val="num" w:pos="864"/>
      </w:tabs>
      <w:ind w:left="864" w:hanging="864"/>
      <w:outlineLvl w:val="3"/>
    </w:pPr>
    <w:rPr>
      <w:u w:val="single"/>
      <w:lang w:eastAsia="en-US"/>
    </w:rPr>
  </w:style>
  <w:style w:type="paragraph" w:styleId="Titolo5">
    <w:name w:val="heading 5"/>
    <w:basedOn w:val="Normale"/>
    <w:next w:val="Rientronormale"/>
    <w:link w:val="Titolo5Carattere"/>
    <w:uiPriority w:val="99"/>
    <w:qFormat/>
    <w:rsid w:val="009072DB"/>
    <w:pPr>
      <w:tabs>
        <w:tab w:val="num" w:pos="1008"/>
      </w:tabs>
      <w:ind w:left="1008" w:hanging="1008"/>
      <w:outlineLvl w:val="4"/>
    </w:pPr>
    <w:rPr>
      <w:b/>
      <w:bCs/>
      <w:sz w:val="20"/>
      <w:szCs w:val="20"/>
      <w:lang w:eastAsia="en-US"/>
    </w:rPr>
  </w:style>
  <w:style w:type="paragraph" w:styleId="Titolo6">
    <w:name w:val="heading 6"/>
    <w:basedOn w:val="Normale"/>
    <w:next w:val="Rientronormale"/>
    <w:link w:val="Titolo6Carattere"/>
    <w:uiPriority w:val="99"/>
    <w:qFormat/>
    <w:rsid w:val="009072DB"/>
    <w:pPr>
      <w:tabs>
        <w:tab w:val="num" w:pos="1152"/>
      </w:tabs>
      <w:ind w:left="1152" w:hanging="1152"/>
      <w:outlineLvl w:val="5"/>
    </w:pPr>
    <w:rPr>
      <w:sz w:val="20"/>
      <w:szCs w:val="20"/>
      <w:u w:val="single"/>
      <w:lang w:eastAsia="en-US"/>
    </w:rPr>
  </w:style>
  <w:style w:type="paragraph" w:styleId="Titolo7">
    <w:name w:val="heading 7"/>
    <w:basedOn w:val="Normale"/>
    <w:next w:val="Rientronormale"/>
    <w:link w:val="Titolo7Carattere"/>
    <w:uiPriority w:val="99"/>
    <w:qFormat/>
    <w:rsid w:val="009072DB"/>
    <w:pPr>
      <w:tabs>
        <w:tab w:val="num" w:pos="1296"/>
      </w:tabs>
      <w:ind w:left="1296" w:hanging="1296"/>
      <w:outlineLvl w:val="6"/>
    </w:pPr>
    <w:rPr>
      <w:i/>
      <w:iCs/>
      <w:sz w:val="20"/>
      <w:szCs w:val="20"/>
      <w:lang w:eastAsia="en-US"/>
    </w:rPr>
  </w:style>
  <w:style w:type="paragraph" w:styleId="Titolo8">
    <w:name w:val="heading 8"/>
    <w:basedOn w:val="Normale"/>
    <w:next w:val="Rientronormale"/>
    <w:link w:val="Titolo8Carattere"/>
    <w:uiPriority w:val="99"/>
    <w:qFormat/>
    <w:rsid w:val="009072DB"/>
    <w:pPr>
      <w:tabs>
        <w:tab w:val="num" w:pos="1440"/>
      </w:tabs>
      <w:ind w:left="1440" w:hanging="1440"/>
      <w:outlineLvl w:val="7"/>
    </w:pPr>
    <w:rPr>
      <w:i/>
      <w:iCs/>
      <w:sz w:val="20"/>
      <w:szCs w:val="20"/>
      <w:lang w:eastAsia="en-US"/>
    </w:rPr>
  </w:style>
  <w:style w:type="paragraph" w:styleId="Titolo9">
    <w:name w:val="heading 9"/>
    <w:basedOn w:val="Normale"/>
    <w:next w:val="Rientronormale"/>
    <w:link w:val="Titolo9Carattere"/>
    <w:uiPriority w:val="99"/>
    <w:qFormat/>
    <w:rsid w:val="009072DB"/>
    <w:pPr>
      <w:tabs>
        <w:tab w:val="num" w:pos="1584"/>
      </w:tabs>
      <w:ind w:left="1584" w:hanging="1584"/>
      <w:outlineLvl w:val="8"/>
    </w:pPr>
    <w:rPr>
      <w:i/>
      <w:iCs/>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CF46D1"/>
    <w:rPr>
      <w:rFonts w:ascii="Times New Roman" w:eastAsia="Times New Roman" w:hAnsi="Times New Roman" w:cs="Times New Roman"/>
      <w:b/>
      <w:bCs/>
      <w:lang w:val="en-US" w:eastAsia="en-US"/>
    </w:rPr>
  </w:style>
  <w:style w:type="character" w:customStyle="1" w:styleId="Titolo2Carattere">
    <w:name w:val="Titolo 2 Carattere"/>
    <w:basedOn w:val="Carpredefinitoparagrafo"/>
    <w:link w:val="Titolo2"/>
    <w:uiPriority w:val="99"/>
    <w:rsid w:val="00143CFE"/>
    <w:rPr>
      <w:rFonts w:ascii="Times New Roman" w:eastAsia="Times New Roman" w:hAnsi="Times New Roman" w:cs="Times New Roman"/>
      <w:bCs/>
      <w:lang w:val="en-US" w:eastAsia="en-US"/>
    </w:rPr>
  </w:style>
  <w:style w:type="paragraph" w:styleId="Rientronormale">
    <w:name w:val="Normal Indent"/>
    <w:basedOn w:val="Normale"/>
    <w:uiPriority w:val="99"/>
    <w:rsid w:val="009072DB"/>
    <w:pPr>
      <w:ind w:left="708"/>
    </w:pPr>
    <w:rPr>
      <w:lang w:eastAsia="en-US"/>
    </w:rPr>
  </w:style>
  <w:style w:type="character" w:customStyle="1" w:styleId="Titolo3Carattere">
    <w:name w:val="Titolo 3 Carattere"/>
    <w:basedOn w:val="Carpredefinitoparagrafo"/>
    <w:link w:val="Titolo3"/>
    <w:uiPriority w:val="99"/>
    <w:rsid w:val="009072DB"/>
    <w:rPr>
      <w:rFonts w:ascii="Times New Roman" w:eastAsia="Times New Roman" w:hAnsi="Times New Roman" w:cs="Times New Roman"/>
      <w:b/>
      <w:bCs/>
      <w:lang w:eastAsia="en-US"/>
    </w:rPr>
  </w:style>
  <w:style w:type="character" w:customStyle="1" w:styleId="Titolo4Carattere">
    <w:name w:val="Titolo 4 Carattere"/>
    <w:basedOn w:val="Carpredefinitoparagrafo"/>
    <w:link w:val="Titolo4"/>
    <w:uiPriority w:val="99"/>
    <w:rsid w:val="009072DB"/>
    <w:rPr>
      <w:rFonts w:ascii="Times New Roman" w:eastAsia="Times New Roman" w:hAnsi="Times New Roman" w:cs="Times New Roman"/>
      <w:u w:val="single"/>
      <w:lang w:eastAsia="en-US"/>
    </w:rPr>
  </w:style>
  <w:style w:type="character" w:customStyle="1" w:styleId="Titolo5Carattere">
    <w:name w:val="Titolo 5 Carattere"/>
    <w:basedOn w:val="Carpredefinitoparagrafo"/>
    <w:link w:val="Titolo5"/>
    <w:uiPriority w:val="99"/>
    <w:rsid w:val="009072DB"/>
    <w:rPr>
      <w:rFonts w:ascii="Times New Roman" w:eastAsia="Times New Roman" w:hAnsi="Times New Roman" w:cs="Times New Roman"/>
      <w:b/>
      <w:bCs/>
      <w:sz w:val="20"/>
      <w:szCs w:val="20"/>
      <w:lang w:eastAsia="en-US"/>
    </w:rPr>
  </w:style>
  <w:style w:type="character" w:customStyle="1" w:styleId="Titolo6Carattere">
    <w:name w:val="Titolo 6 Carattere"/>
    <w:basedOn w:val="Carpredefinitoparagrafo"/>
    <w:link w:val="Titolo6"/>
    <w:uiPriority w:val="99"/>
    <w:rsid w:val="009072DB"/>
    <w:rPr>
      <w:rFonts w:ascii="Times New Roman" w:eastAsia="Times New Roman" w:hAnsi="Times New Roman" w:cs="Times New Roman"/>
      <w:sz w:val="20"/>
      <w:szCs w:val="20"/>
      <w:u w:val="single"/>
      <w:lang w:eastAsia="en-US"/>
    </w:rPr>
  </w:style>
  <w:style w:type="character" w:customStyle="1" w:styleId="Titolo7Carattere">
    <w:name w:val="Titolo 7 Carattere"/>
    <w:basedOn w:val="Carpredefinitoparagrafo"/>
    <w:link w:val="Titolo7"/>
    <w:uiPriority w:val="99"/>
    <w:rsid w:val="009072DB"/>
    <w:rPr>
      <w:rFonts w:ascii="Times New Roman" w:eastAsia="Times New Roman" w:hAnsi="Times New Roman" w:cs="Times New Roman"/>
      <w:i/>
      <w:iCs/>
      <w:sz w:val="20"/>
      <w:szCs w:val="20"/>
      <w:lang w:eastAsia="en-US"/>
    </w:rPr>
  </w:style>
  <w:style w:type="character" w:customStyle="1" w:styleId="Titolo8Carattere">
    <w:name w:val="Titolo 8 Carattere"/>
    <w:basedOn w:val="Carpredefinitoparagrafo"/>
    <w:link w:val="Titolo8"/>
    <w:uiPriority w:val="99"/>
    <w:rsid w:val="009072DB"/>
    <w:rPr>
      <w:rFonts w:ascii="Times New Roman" w:eastAsia="Times New Roman" w:hAnsi="Times New Roman" w:cs="Times New Roman"/>
      <w:i/>
      <w:iCs/>
      <w:sz w:val="20"/>
      <w:szCs w:val="20"/>
      <w:lang w:eastAsia="en-US"/>
    </w:rPr>
  </w:style>
  <w:style w:type="character" w:customStyle="1" w:styleId="Titolo9Carattere">
    <w:name w:val="Titolo 9 Carattere"/>
    <w:basedOn w:val="Carpredefinitoparagrafo"/>
    <w:link w:val="Titolo9"/>
    <w:uiPriority w:val="99"/>
    <w:rsid w:val="009072DB"/>
    <w:rPr>
      <w:rFonts w:ascii="Times New Roman" w:eastAsia="Times New Roman" w:hAnsi="Times New Roman" w:cs="Times New Roman"/>
      <w:i/>
      <w:iCs/>
      <w:sz w:val="20"/>
      <w:szCs w:val="20"/>
      <w:lang w:eastAsia="en-US"/>
    </w:rPr>
  </w:style>
  <w:style w:type="paragraph" w:styleId="Testofumetto">
    <w:name w:val="Balloon Text"/>
    <w:basedOn w:val="Normale"/>
    <w:link w:val="TestofumettoCarattere"/>
    <w:uiPriority w:val="99"/>
    <w:semiHidden/>
    <w:unhideWhenUsed/>
    <w:rsid w:val="009072D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072DB"/>
    <w:rPr>
      <w:rFonts w:ascii="Lucida Grande" w:hAnsi="Lucida Grande" w:cs="Lucida Grande"/>
      <w:sz w:val="18"/>
      <w:szCs w:val="18"/>
    </w:rPr>
  </w:style>
  <w:style w:type="paragraph" w:styleId="Intestazione">
    <w:name w:val="header"/>
    <w:basedOn w:val="Normale"/>
    <w:link w:val="IntestazioneCarattere"/>
    <w:uiPriority w:val="99"/>
    <w:rsid w:val="009072DB"/>
    <w:pPr>
      <w:tabs>
        <w:tab w:val="center" w:pos="4819"/>
        <w:tab w:val="right" w:pos="9638"/>
      </w:tabs>
    </w:pPr>
  </w:style>
  <w:style w:type="character" w:customStyle="1" w:styleId="IntestazioneCarattere">
    <w:name w:val="Intestazione Carattere"/>
    <w:basedOn w:val="Carpredefinitoparagrafo"/>
    <w:link w:val="Intestazione"/>
    <w:uiPriority w:val="99"/>
    <w:rsid w:val="009072DB"/>
    <w:rPr>
      <w:rFonts w:ascii="Times New Roman" w:eastAsia="Times New Roman" w:hAnsi="Times New Roman" w:cs="Times New Roman"/>
    </w:rPr>
  </w:style>
  <w:style w:type="paragraph" w:styleId="Pidipagina">
    <w:name w:val="footer"/>
    <w:basedOn w:val="Normale"/>
    <w:link w:val="PidipaginaCarattere"/>
    <w:uiPriority w:val="99"/>
    <w:rsid w:val="009072DB"/>
    <w:pPr>
      <w:tabs>
        <w:tab w:val="center" w:pos="4819"/>
        <w:tab w:val="right" w:pos="9638"/>
      </w:tabs>
    </w:pPr>
  </w:style>
  <w:style w:type="character" w:customStyle="1" w:styleId="PidipaginaCarattere">
    <w:name w:val="Piè di pagina Carattere"/>
    <w:basedOn w:val="Carpredefinitoparagrafo"/>
    <w:link w:val="Pidipagina"/>
    <w:uiPriority w:val="99"/>
    <w:rsid w:val="009072DB"/>
    <w:rPr>
      <w:rFonts w:ascii="Times New Roman" w:eastAsia="Times New Roman" w:hAnsi="Times New Roman" w:cs="Times New Roman"/>
    </w:rPr>
  </w:style>
  <w:style w:type="paragraph" w:styleId="Testonotaapidipagina">
    <w:name w:val="footnote text"/>
    <w:basedOn w:val="Normale"/>
    <w:link w:val="TestonotaapidipaginaCarattere"/>
    <w:uiPriority w:val="99"/>
    <w:rsid w:val="009072DB"/>
    <w:rPr>
      <w:sz w:val="20"/>
      <w:szCs w:val="20"/>
      <w:lang w:eastAsia="en-US"/>
    </w:rPr>
  </w:style>
  <w:style w:type="character" w:customStyle="1" w:styleId="TestonotaapidipaginaCarattere">
    <w:name w:val="Testo nota a piè di pagina Carattere"/>
    <w:basedOn w:val="Carpredefinitoparagrafo"/>
    <w:link w:val="Testonotaapidipagina"/>
    <w:uiPriority w:val="99"/>
    <w:rsid w:val="009072DB"/>
    <w:rPr>
      <w:rFonts w:ascii="Times New Roman" w:eastAsia="Times New Roman" w:hAnsi="Times New Roman" w:cs="Times New Roman"/>
      <w:sz w:val="20"/>
      <w:szCs w:val="20"/>
      <w:lang w:eastAsia="en-US"/>
    </w:rPr>
  </w:style>
  <w:style w:type="paragraph" w:styleId="Titolo">
    <w:name w:val="Title"/>
    <w:basedOn w:val="Normale"/>
    <w:link w:val="TitoloCarattere"/>
    <w:uiPriority w:val="99"/>
    <w:qFormat/>
    <w:rsid w:val="009072DB"/>
    <w:pPr>
      <w:spacing w:before="1" w:after="1"/>
      <w:ind w:left="851" w:right="851" w:firstLine="1"/>
    </w:pPr>
    <w:rPr>
      <w:b/>
      <w:bCs/>
      <w:u w:val="single"/>
      <w:lang w:eastAsia="en-US"/>
    </w:rPr>
  </w:style>
  <w:style w:type="character" w:customStyle="1" w:styleId="TitoloCarattere">
    <w:name w:val="Titolo Carattere"/>
    <w:basedOn w:val="Carpredefinitoparagrafo"/>
    <w:link w:val="Titolo"/>
    <w:uiPriority w:val="99"/>
    <w:rsid w:val="009072DB"/>
    <w:rPr>
      <w:rFonts w:ascii="Times New Roman" w:eastAsia="Times New Roman" w:hAnsi="Times New Roman" w:cs="Times New Roman"/>
      <w:b/>
      <w:bCs/>
      <w:u w:val="single"/>
      <w:lang w:eastAsia="en-US"/>
    </w:rPr>
  </w:style>
  <w:style w:type="paragraph" w:customStyle="1" w:styleId="Sottotitolo1">
    <w:name w:val="Sottotitolo 1"/>
    <w:basedOn w:val="Normale"/>
    <w:uiPriority w:val="99"/>
    <w:rsid w:val="009072DB"/>
    <w:pPr>
      <w:spacing w:before="1" w:after="1"/>
      <w:ind w:left="851" w:right="851" w:firstLine="1"/>
    </w:pPr>
    <w:rPr>
      <w:b/>
      <w:bCs/>
      <w:i/>
      <w:iCs/>
      <w:u w:val="single"/>
      <w:lang w:eastAsia="en-US"/>
    </w:rPr>
  </w:style>
  <w:style w:type="paragraph" w:customStyle="1" w:styleId="rientrato">
    <w:name w:val="rientrato"/>
    <w:next w:val="Normale"/>
    <w:uiPriority w:val="99"/>
    <w:rsid w:val="009072DB"/>
    <w:pPr>
      <w:tabs>
        <w:tab w:val="left" w:pos="1134"/>
      </w:tabs>
      <w:ind w:left="1134" w:right="850" w:hanging="284"/>
      <w:jc w:val="both"/>
    </w:pPr>
    <w:rPr>
      <w:rFonts w:ascii="Times New Roman" w:eastAsia="Times New Roman" w:hAnsi="Times New Roman" w:cs="Times New Roman"/>
      <w:lang w:eastAsia="en-US"/>
    </w:rPr>
  </w:style>
  <w:style w:type="paragraph" w:customStyle="1" w:styleId="Corpotesto1">
    <w:name w:val="Corpo testo1"/>
    <w:uiPriority w:val="99"/>
    <w:rsid w:val="009072DB"/>
    <w:pPr>
      <w:ind w:firstLine="480"/>
    </w:pPr>
    <w:rPr>
      <w:rFonts w:ascii="Times New Roman" w:eastAsia="Times New Roman" w:hAnsi="Times New Roman" w:cs="Times New Roman"/>
      <w:color w:val="000000"/>
      <w:lang w:eastAsia="en-US"/>
    </w:rPr>
  </w:style>
  <w:style w:type="paragraph" w:styleId="Corpodeltesto">
    <w:name w:val="Body Text"/>
    <w:basedOn w:val="Normale"/>
    <w:link w:val="CorpodeltestoCarattere"/>
    <w:uiPriority w:val="99"/>
    <w:rsid w:val="009072DB"/>
    <w:pPr>
      <w:tabs>
        <w:tab w:val="left" w:pos="567"/>
        <w:tab w:val="left" w:pos="1134"/>
        <w:tab w:val="left" w:pos="1702"/>
        <w:tab w:val="left" w:pos="2269"/>
        <w:tab w:val="left" w:pos="2835"/>
        <w:tab w:val="left" w:pos="3402"/>
        <w:tab w:val="left" w:pos="3969"/>
      </w:tabs>
      <w:ind w:right="-1"/>
      <w:jc w:val="both"/>
    </w:pPr>
    <w:rPr>
      <w:lang w:eastAsia="en-US"/>
    </w:rPr>
  </w:style>
  <w:style w:type="character" w:customStyle="1" w:styleId="CorpodeltestoCarattere">
    <w:name w:val="Corpo del testo Carattere"/>
    <w:basedOn w:val="Carpredefinitoparagrafo"/>
    <w:link w:val="Corpodeltesto"/>
    <w:uiPriority w:val="99"/>
    <w:rsid w:val="009072DB"/>
    <w:rPr>
      <w:rFonts w:ascii="Times New Roman" w:eastAsia="Times New Roman" w:hAnsi="Times New Roman" w:cs="Times New Roman"/>
      <w:lang w:eastAsia="en-US"/>
    </w:rPr>
  </w:style>
  <w:style w:type="paragraph" w:styleId="Corpodeltesto2">
    <w:name w:val="Body Text 2"/>
    <w:basedOn w:val="Normale"/>
    <w:link w:val="Corpodeltesto2Carattere"/>
    <w:uiPriority w:val="99"/>
    <w:rsid w:val="009072DB"/>
    <w:pPr>
      <w:spacing w:before="120"/>
      <w:jc w:val="both"/>
    </w:pPr>
    <w:rPr>
      <w:rFonts w:ascii="Tahoma" w:hAnsi="Tahoma" w:cs="Tahoma"/>
      <w:lang w:eastAsia="en-US"/>
    </w:rPr>
  </w:style>
  <w:style w:type="character" w:customStyle="1" w:styleId="Corpodeltesto2Carattere">
    <w:name w:val="Corpo del testo 2 Carattere"/>
    <w:basedOn w:val="Carpredefinitoparagrafo"/>
    <w:link w:val="Corpodeltesto2"/>
    <w:uiPriority w:val="99"/>
    <w:rsid w:val="009072DB"/>
    <w:rPr>
      <w:rFonts w:ascii="Tahoma" w:eastAsia="Times New Roman" w:hAnsi="Tahoma" w:cs="Tahoma"/>
      <w:lang w:eastAsia="en-US"/>
    </w:rPr>
  </w:style>
  <w:style w:type="paragraph" w:styleId="Rientrocorpodeltesto">
    <w:name w:val="Body Text Indent"/>
    <w:basedOn w:val="Normale"/>
    <w:link w:val="RientrocorpodeltestoCarattere"/>
    <w:uiPriority w:val="99"/>
    <w:rsid w:val="009072DB"/>
    <w:pPr>
      <w:ind w:left="709" w:hanging="709"/>
    </w:pPr>
    <w:rPr>
      <w:sz w:val="20"/>
      <w:szCs w:val="20"/>
      <w:lang w:eastAsia="en-US"/>
    </w:rPr>
  </w:style>
  <w:style w:type="character" w:customStyle="1" w:styleId="RientrocorpodeltestoCarattere">
    <w:name w:val="Rientro corpo del testo Carattere"/>
    <w:basedOn w:val="Carpredefinitoparagrafo"/>
    <w:link w:val="Rientrocorpodeltesto"/>
    <w:uiPriority w:val="99"/>
    <w:rsid w:val="009072DB"/>
    <w:rPr>
      <w:rFonts w:ascii="Times New Roman" w:eastAsia="Times New Roman" w:hAnsi="Times New Roman" w:cs="Times New Roman"/>
      <w:sz w:val="20"/>
      <w:szCs w:val="20"/>
      <w:lang w:eastAsia="en-US"/>
    </w:rPr>
  </w:style>
  <w:style w:type="paragraph" w:styleId="Testodelblocco">
    <w:name w:val="Block Text"/>
    <w:basedOn w:val="Normale"/>
    <w:uiPriority w:val="99"/>
    <w:rsid w:val="009072DB"/>
    <w:pPr>
      <w:tabs>
        <w:tab w:val="left" w:pos="567"/>
        <w:tab w:val="left" w:pos="1134"/>
        <w:tab w:val="left" w:pos="1702"/>
        <w:tab w:val="left" w:pos="2269"/>
        <w:tab w:val="left" w:pos="2835"/>
        <w:tab w:val="left" w:pos="3402"/>
        <w:tab w:val="left" w:pos="3969"/>
      </w:tabs>
      <w:ind w:left="284" w:right="-1"/>
      <w:jc w:val="both"/>
    </w:pPr>
    <w:rPr>
      <w:lang w:eastAsia="en-US"/>
    </w:rPr>
  </w:style>
  <w:style w:type="paragraph" w:styleId="Corpodeltesto3">
    <w:name w:val="Body Text 3"/>
    <w:basedOn w:val="Normale"/>
    <w:link w:val="Corpodeltesto3Carattere"/>
    <w:uiPriority w:val="99"/>
    <w:rsid w:val="009072DB"/>
    <w:pPr>
      <w:jc w:val="both"/>
    </w:pPr>
    <w:rPr>
      <w:i/>
      <w:iCs/>
      <w:lang w:eastAsia="en-US"/>
    </w:rPr>
  </w:style>
  <w:style w:type="character" w:customStyle="1" w:styleId="Corpodeltesto3Carattere">
    <w:name w:val="Corpo del testo 3 Carattere"/>
    <w:basedOn w:val="Carpredefinitoparagrafo"/>
    <w:link w:val="Corpodeltesto3"/>
    <w:uiPriority w:val="99"/>
    <w:rsid w:val="009072DB"/>
    <w:rPr>
      <w:rFonts w:ascii="Times New Roman" w:eastAsia="Times New Roman" w:hAnsi="Times New Roman" w:cs="Times New Roman"/>
      <w:i/>
      <w:iCs/>
      <w:lang w:eastAsia="en-US"/>
    </w:rPr>
  </w:style>
  <w:style w:type="paragraph" w:styleId="Rientrocorpodeltesto2">
    <w:name w:val="Body Text Indent 2"/>
    <w:basedOn w:val="Normale"/>
    <w:link w:val="Rientrocorpodeltesto2Carattere"/>
    <w:uiPriority w:val="99"/>
    <w:rsid w:val="009072DB"/>
    <w:pPr>
      <w:ind w:left="567"/>
      <w:jc w:val="both"/>
    </w:pPr>
    <w:rPr>
      <w:i/>
      <w:iCs/>
      <w:lang w:eastAsia="en-US"/>
    </w:rPr>
  </w:style>
  <w:style w:type="character" w:customStyle="1" w:styleId="Rientrocorpodeltesto2Carattere">
    <w:name w:val="Rientro corpo del testo 2 Carattere"/>
    <w:basedOn w:val="Carpredefinitoparagrafo"/>
    <w:link w:val="Rientrocorpodeltesto2"/>
    <w:uiPriority w:val="99"/>
    <w:rsid w:val="009072DB"/>
    <w:rPr>
      <w:rFonts w:ascii="Times New Roman" w:eastAsia="Times New Roman" w:hAnsi="Times New Roman" w:cs="Times New Roman"/>
      <w:i/>
      <w:iCs/>
      <w:lang w:eastAsia="en-US"/>
    </w:rPr>
  </w:style>
  <w:style w:type="paragraph" w:styleId="Rientrocorpodeltesto3">
    <w:name w:val="Body Text Indent 3"/>
    <w:basedOn w:val="Normale"/>
    <w:link w:val="Rientrocorpodeltesto3Carattere"/>
    <w:uiPriority w:val="99"/>
    <w:rsid w:val="009072DB"/>
    <w:pPr>
      <w:ind w:left="426"/>
      <w:jc w:val="both"/>
    </w:pPr>
    <w:rPr>
      <w:i/>
      <w:iCs/>
      <w:lang w:eastAsia="en-US"/>
    </w:rPr>
  </w:style>
  <w:style w:type="character" w:customStyle="1" w:styleId="Rientrocorpodeltesto3Carattere">
    <w:name w:val="Rientro corpo del testo 3 Carattere"/>
    <w:basedOn w:val="Carpredefinitoparagrafo"/>
    <w:link w:val="Rientrocorpodeltesto3"/>
    <w:uiPriority w:val="99"/>
    <w:rsid w:val="009072DB"/>
    <w:rPr>
      <w:rFonts w:ascii="Times New Roman" w:eastAsia="Times New Roman" w:hAnsi="Times New Roman" w:cs="Times New Roman"/>
      <w:i/>
      <w:iCs/>
      <w:lang w:eastAsia="en-US"/>
    </w:rPr>
  </w:style>
  <w:style w:type="paragraph" w:styleId="Testonotadichiusura">
    <w:name w:val="endnote text"/>
    <w:basedOn w:val="Normale"/>
    <w:link w:val="TestonotadichiusuraCarattere"/>
    <w:uiPriority w:val="99"/>
    <w:semiHidden/>
    <w:rsid w:val="009072DB"/>
    <w:rPr>
      <w:sz w:val="20"/>
      <w:szCs w:val="20"/>
      <w:lang w:eastAsia="en-US"/>
    </w:rPr>
  </w:style>
  <w:style w:type="character" w:customStyle="1" w:styleId="TestonotadichiusuraCarattere">
    <w:name w:val="Testo nota di chiusura Carattere"/>
    <w:basedOn w:val="Carpredefinitoparagrafo"/>
    <w:link w:val="Testonotadichiusura"/>
    <w:uiPriority w:val="99"/>
    <w:semiHidden/>
    <w:rsid w:val="009072DB"/>
    <w:rPr>
      <w:rFonts w:ascii="Times New Roman" w:eastAsia="Times New Roman" w:hAnsi="Times New Roman" w:cs="Times New Roman"/>
      <w:sz w:val="20"/>
      <w:szCs w:val="20"/>
      <w:lang w:eastAsia="en-US"/>
    </w:rPr>
  </w:style>
  <w:style w:type="character" w:styleId="Numeropagina">
    <w:name w:val="page number"/>
    <w:basedOn w:val="Carpredefinitoparagrafo"/>
    <w:uiPriority w:val="99"/>
    <w:rsid w:val="009072DB"/>
    <w:rPr>
      <w:rFonts w:cs="Times New Roman"/>
    </w:rPr>
  </w:style>
  <w:style w:type="paragraph" w:customStyle="1" w:styleId="xl30">
    <w:name w:val="xl30"/>
    <w:basedOn w:val="Normale"/>
    <w:uiPriority w:val="99"/>
    <w:rsid w:val="009072DB"/>
    <w:pPr>
      <w:spacing w:before="100" w:beforeAutospacing="1" w:after="100" w:afterAutospacing="1"/>
    </w:pPr>
    <w:rPr>
      <w:rFonts w:ascii="Arial" w:eastAsia="Arial Unicode MS" w:hAnsi="Arial" w:cs="Arial"/>
      <w:sz w:val="14"/>
      <w:szCs w:val="14"/>
      <w:lang w:val="en-GB" w:eastAsia="en-US"/>
    </w:rPr>
  </w:style>
  <w:style w:type="paragraph" w:customStyle="1" w:styleId="xl31">
    <w:name w:val="xl31"/>
    <w:basedOn w:val="Normale"/>
    <w:uiPriority w:val="99"/>
    <w:rsid w:val="009072DB"/>
    <w:pPr>
      <w:spacing w:before="100" w:beforeAutospacing="1" w:after="100" w:afterAutospacing="1"/>
    </w:pPr>
    <w:rPr>
      <w:rFonts w:ascii="Arial" w:eastAsia="Arial Unicode MS" w:hAnsi="Arial" w:cs="Arial"/>
      <w:b/>
      <w:bCs/>
      <w:sz w:val="14"/>
      <w:szCs w:val="14"/>
      <w:lang w:val="en-GB" w:eastAsia="en-US"/>
    </w:rPr>
  </w:style>
  <w:style w:type="paragraph" w:customStyle="1" w:styleId="xl32">
    <w:name w:val="xl32"/>
    <w:basedOn w:val="Normale"/>
    <w:uiPriority w:val="99"/>
    <w:rsid w:val="009072DB"/>
    <w:pPr>
      <w:spacing w:before="100" w:beforeAutospacing="1" w:after="100" w:afterAutospacing="1"/>
    </w:pPr>
    <w:rPr>
      <w:rFonts w:ascii="Arial" w:eastAsia="Arial Unicode MS" w:hAnsi="Arial" w:cs="Arial"/>
      <w:b/>
      <w:bCs/>
      <w:sz w:val="14"/>
      <w:szCs w:val="14"/>
      <w:lang w:val="en-GB" w:eastAsia="en-US"/>
    </w:rPr>
  </w:style>
  <w:style w:type="paragraph" w:customStyle="1" w:styleId="xl33">
    <w:name w:val="xl33"/>
    <w:basedOn w:val="Normale"/>
    <w:uiPriority w:val="99"/>
    <w:rsid w:val="009072DB"/>
    <w:pPr>
      <w:spacing w:before="100" w:beforeAutospacing="1" w:after="100" w:afterAutospacing="1"/>
      <w:jc w:val="center"/>
    </w:pPr>
    <w:rPr>
      <w:rFonts w:ascii="Arial" w:eastAsia="Arial Unicode MS" w:hAnsi="Arial" w:cs="Arial"/>
      <w:b/>
      <w:bCs/>
      <w:sz w:val="14"/>
      <w:szCs w:val="14"/>
      <w:lang w:val="en-GB" w:eastAsia="en-US"/>
    </w:rPr>
  </w:style>
  <w:style w:type="paragraph" w:customStyle="1" w:styleId="xl34">
    <w:name w:val="xl34"/>
    <w:basedOn w:val="Normale"/>
    <w:uiPriority w:val="99"/>
    <w:rsid w:val="009072DB"/>
    <w:pPr>
      <w:spacing w:before="100" w:beforeAutospacing="1" w:after="100" w:afterAutospacing="1"/>
    </w:pPr>
    <w:rPr>
      <w:rFonts w:ascii="Arial" w:eastAsia="Arial Unicode MS" w:hAnsi="Arial" w:cs="Arial"/>
      <w:b/>
      <w:bCs/>
      <w:sz w:val="14"/>
      <w:szCs w:val="14"/>
      <w:lang w:val="en-GB" w:eastAsia="en-US"/>
    </w:rPr>
  </w:style>
  <w:style w:type="paragraph" w:customStyle="1" w:styleId="xl35">
    <w:name w:val="xl35"/>
    <w:basedOn w:val="Normale"/>
    <w:uiPriority w:val="99"/>
    <w:rsid w:val="009072DB"/>
    <w:pPr>
      <w:spacing w:before="100" w:beforeAutospacing="1" w:after="100" w:afterAutospacing="1"/>
      <w:jc w:val="center"/>
    </w:pPr>
    <w:rPr>
      <w:rFonts w:ascii="Arial" w:eastAsia="Arial Unicode MS" w:hAnsi="Arial" w:cs="Arial"/>
      <w:b/>
      <w:bCs/>
      <w:sz w:val="14"/>
      <w:szCs w:val="14"/>
      <w:lang w:val="en-GB" w:eastAsia="en-US"/>
    </w:rPr>
  </w:style>
  <w:style w:type="paragraph" w:customStyle="1" w:styleId="xl36">
    <w:name w:val="xl36"/>
    <w:basedOn w:val="Normale"/>
    <w:uiPriority w:val="99"/>
    <w:rsid w:val="009072DB"/>
    <w:pPr>
      <w:pBdr>
        <w:bottom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37">
    <w:name w:val="xl37"/>
    <w:basedOn w:val="Normale"/>
    <w:uiPriority w:val="99"/>
    <w:rsid w:val="009072DB"/>
    <w:pPr>
      <w:pBdr>
        <w:bottom w:val="single" w:sz="4" w:space="0" w:color="auto"/>
      </w:pBdr>
      <w:spacing w:before="100" w:beforeAutospacing="1" w:after="100" w:afterAutospacing="1"/>
    </w:pPr>
    <w:rPr>
      <w:rFonts w:ascii="Arial" w:eastAsia="Arial Unicode MS" w:hAnsi="Arial" w:cs="Arial"/>
      <w:b/>
      <w:bCs/>
      <w:sz w:val="14"/>
      <w:szCs w:val="14"/>
      <w:lang w:val="en-GB" w:eastAsia="en-US"/>
    </w:rPr>
  </w:style>
  <w:style w:type="paragraph" w:customStyle="1" w:styleId="xl38">
    <w:name w:val="xl38"/>
    <w:basedOn w:val="Normale"/>
    <w:uiPriority w:val="99"/>
    <w:rsid w:val="009072DB"/>
    <w:pPr>
      <w:spacing w:before="100" w:beforeAutospacing="1" w:after="100" w:afterAutospacing="1"/>
    </w:pPr>
    <w:rPr>
      <w:rFonts w:ascii="Arial" w:eastAsia="Arial Unicode MS" w:hAnsi="Arial" w:cs="Arial"/>
      <w:sz w:val="14"/>
      <w:szCs w:val="14"/>
      <w:lang w:val="en-GB" w:eastAsia="en-US"/>
    </w:rPr>
  </w:style>
  <w:style w:type="paragraph" w:customStyle="1" w:styleId="xl39">
    <w:name w:val="xl39"/>
    <w:basedOn w:val="Normale"/>
    <w:uiPriority w:val="99"/>
    <w:rsid w:val="009072DB"/>
    <w:pPr>
      <w:pBdr>
        <w:bottom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0">
    <w:name w:val="xl40"/>
    <w:basedOn w:val="Normale"/>
    <w:uiPriority w:val="99"/>
    <w:rsid w:val="009072DB"/>
    <w:pPr>
      <w:pBdr>
        <w:bottom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1">
    <w:name w:val="xl41"/>
    <w:basedOn w:val="Normale"/>
    <w:uiPriority w:val="99"/>
    <w:rsid w:val="009072DB"/>
    <w:pPr>
      <w:pBdr>
        <w:top w:val="single" w:sz="4" w:space="0" w:color="auto"/>
      </w:pBdr>
      <w:spacing w:before="100" w:beforeAutospacing="1" w:after="100" w:afterAutospacing="1"/>
    </w:pPr>
    <w:rPr>
      <w:rFonts w:ascii="Arial" w:eastAsia="Arial Unicode MS" w:hAnsi="Arial" w:cs="Arial"/>
      <w:b/>
      <w:bCs/>
      <w:sz w:val="14"/>
      <w:szCs w:val="14"/>
      <w:lang w:val="en-GB" w:eastAsia="en-US"/>
    </w:rPr>
  </w:style>
  <w:style w:type="paragraph" w:customStyle="1" w:styleId="xl42">
    <w:name w:val="xl42"/>
    <w:basedOn w:val="Normale"/>
    <w:uiPriority w:val="99"/>
    <w:rsid w:val="009072DB"/>
    <w:pPr>
      <w:pBdr>
        <w:top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3">
    <w:name w:val="xl43"/>
    <w:basedOn w:val="Normale"/>
    <w:uiPriority w:val="99"/>
    <w:rsid w:val="009072DB"/>
    <w:pPr>
      <w:spacing w:before="100" w:beforeAutospacing="1" w:after="100" w:afterAutospacing="1"/>
      <w:jc w:val="right"/>
    </w:pPr>
    <w:rPr>
      <w:rFonts w:ascii="Arial" w:eastAsia="Arial Unicode MS" w:hAnsi="Arial" w:cs="Arial"/>
      <w:sz w:val="14"/>
      <w:szCs w:val="14"/>
      <w:lang w:val="en-GB" w:eastAsia="en-US"/>
    </w:rPr>
  </w:style>
  <w:style w:type="paragraph" w:customStyle="1" w:styleId="xl44">
    <w:name w:val="xl44"/>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b/>
      <w:bCs/>
      <w:sz w:val="14"/>
      <w:szCs w:val="14"/>
      <w:lang w:val="en-GB" w:eastAsia="en-US"/>
    </w:rPr>
  </w:style>
  <w:style w:type="paragraph" w:customStyle="1" w:styleId="xl45">
    <w:name w:val="xl45"/>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6">
    <w:name w:val="xl46"/>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7">
    <w:name w:val="xl47"/>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8">
    <w:name w:val="xl48"/>
    <w:basedOn w:val="Normale"/>
    <w:uiPriority w:val="99"/>
    <w:rsid w:val="009072DB"/>
    <w:pPr>
      <w:spacing w:before="100" w:beforeAutospacing="1" w:after="100" w:afterAutospacing="1"/>
    </w:pPr>
    <w:rPr>
      <w:rFonts w:ascii="Arial" w:eastAsia="Arial Unicode MS" w:hAnsi="Arial" w:cs="Arial"/>
      <w:sz w:val="14"/>
      <w:szCs w:val="14"/>
      <w:lang w:val="en-GB" w:eastAsia="en-US"/>
    </w:rPr>
  </w:style>
  <w:style w:type="paragraph" w:customStyle="1" w:styleId="xl49">
    <w:name w:val="xl49"/>
    <w:basedOn w:val="Normale"/>
    <w:uiPriority w:val="99"/>
    <w:rsid w:val="009072DB"/>
    <w:pPr>
      <w:spacing w:before="100" w:beforeAutospacing="1" w:after="100" w:afterAutospacing="1"/>
      <w:jc w:val="center"/>
    </w:pPr>
    <w:rPr>
      <w:rFonts w:ascii="Arial" w:eastAsia="Arial Unicode MS" w:hAnsi="Arial" w:cs="Arial"/>
      <w:b/>
      <w:bCs/>
      <w:sz w:val="14"/>
      <w:szCs w:val="14"/>
      <w:lang w:val="en-GB" w:eastAsia="en-US"/>
    </w:rPr>
  </w:style>
  <w:style w:type="paragraph" w:customStyle="1" w:styleId="xl50">
    <w:name w:val="xl50"/>
    <w:basedOn w:val="Normale"/>
    <w:uiPriority w:val="99"/>
    <w:rsid w:val="009072DB"/>
    <w:pPr>
      <w:spacing w:before="100" w:beforeAutospacing="1" w:after="100" w:afterAutospacing="1"/>
    </w:pPr>
    <w:rPr>
      <w:rFonts w:ascii="Arial" w:eastAsia="Arial Unicode MS" w:hAnsi="Arial" w:cs="Arial"/>
      <w:b/>
      <w:bCs/>
      <w:sz w:val="14"/>
      <w:szCs w:val="14"/>
      <w:lang w:val="en-GB" w:eastAsia="en-US"/>
    </w:rPr>
  </w:style>
  <w:style w:type="paragraph" w:customStyle="1" w:styleId="xl51">
    <w:name w:val="xl51"/>
    <w:basedOn w:val="Normale"/>
    <w:uiPriority w:val="99"/>
    <w:rsid w:val="009072DB"/>
    <w:pPr>
      <w:pBdr>
        <w:bottom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52">
    <w:name w:val="xl52"/>
    <w:basedOn w:val="Normale"/>
    <w:uiPriority w:val="99"/>
    <w:rsid w:val="009072DB"/>
    <w:pPr>
      <w:pBdr>
        <w:top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53">
    <w:name w:val="xl53"/>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54">
    <w:name w:val="xl54"/>
    <w:basedOn w:val="Normale"/>
    <w:uiPriority w:val="99"/>
    <w:rsid w:val="009072DB"/>
    <w:pPr>
      <w:spacing w:before="100" w:beforeAutospacing="1" w:after="100" w:afterAutospacing="1"/>
      <w:jc w:val="right"/>
    </w:pPr>
    <w:rPr>
      <w:rFonts w:ascii="Arial" w:eastAsia="Arial Unicode MS" w:hAnsi="Arial" w:cs="Arial"/>
      <w:sz w:val="14"/>
      <w:szCs w:val="14"/>
      <w:lang w:val="en-GB" w:eastAsia="en-US"/>
    </w:rPr>
  </w:style>
  <w:style w:type="paragraph" w:customStyle="1" w:styleId="xl55">
    <w:name w:val="xl55"/>
    <w:basedOn w:val="Normale"/>
    <w:uiPriority w:val="99"/>
    <w:rsid w:val="009072DB"/>
    <w:pPr>
      <w:pBdr>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24">
    <w:name w:val="xl24"/>
    <w:basedOn w:val="Normale"/>
    <w:uiPriority w:val="99"/>
    <w:rsid w:val="009072DB"/>
    <w:pPr>
      <w:spacing w:before="100" w:beforeAutospacing="1" w:after="100" w:afterAutospacing="1"/>
      <w:jc w:val="center"/>
    </w:pPr>
    <w:rPr>
      <w:rFonts w:eastAsia="Arial Unicode MS"/>
      <w:b/>
      <w:bCs/>
      <w:sz w:val="14"/>
      <w:szCs w:val="14"/>
    </w:rPr>
  </w:style>
  <w:style w:type="paragraph" w:customStyle="1" w:styleId="xl25">
    <w:name w:val="xl25"/>
    <w:basedOn w:val="Normale"/>
    <w:uiPriority w:val="99"/>
    <w:rsid w:val="009072DB"/>
    <w:pPr>
      <w:spacing w:before="100" w:beforeAutospacing="1" w:after="100" w:afterAutospacing="1"/>
      <w:jc w:val="center"/>
      <w:textAlignment w:val="top"/>
    </w:pPr>
    <w:rPr>
      <w:rFonts w:eastAsia="Arial Unicode MS"/>
      <w:b/>
      <w:bCs/>
      <w:sz w:val="14"/>
      <w:szCs w:val="14"/>
    </w:rPr>
  </w:style>
  <w:style w:type="paragraph" w:customStyle="1" w:styleId="xl26">
    <w:name w:val="xl26"/>
    <w:basedOn w:val="Normale"/>
    <w:uiPriority w:val="99"/>
    <w:rsid w:val="009072DB"/>
    <w:pPr>
      <w:spacing w:before="100" w:beforeAutospacing="1" w:after="100" w:afterAutospacing="1"/>
      <w:jc w:val="center"/>
      <w:textAlignment w:val="top"/>
    </w:pPr>
    <w:rPr>
      <w:rFonts w:eastAsia="Arial Unicode MS"/>
      <w:b/>
      <w:bCs/>
      <w:sz w:val="14"/>
      <w:szCs w:val="14"/>
    </w:rPr>
  </w:style>
  <w:style w:type="paragraph" w:customStyle="1" w:styleId="xl27">
    <w:name w:val="xl27"/>
    <w:basedOn w:val="Normale"/>
    <w:uiPriority w:val="99"/>
    <w:rsid w:val="009072DB"/>
    <w:pPr>
      <w:pBdr>
        <w:bottom w:val="single" w:sz="4" w:space="0" w:color="auto"/>
      </w:pBdr>
      <w:spacing w:before="100" w:beforeAutospacing="1" w:after="100" w:afterAutospacing="1"/>
      <w:textAlignment w:val="center"/>
    </w:pPr>
    <w:rPr>
      <w:rFonts w:eastAsia="Arial Unicode MS"/>
      <w:b/>
      <w:bCs/>
      <w:sz w:val="14"/>
      <w:szCs w:val="14"/>
    </w:rPr>
  </w:style>
  <w:style w:type="paragraph" w:customStyle="1" w:styleId="xl28">
    <w:name w:val="xl28"/>
    <w:basedOn w:val="Normale"/>
    <w:uiPriority w:val="99"/>
    <w:rsid w:val="009072DB"/>
    <w:pPr>
      <w:pBdr>
        <w:bottom w:val="single" w:sz="4" w:space="0" w:color="auto"/>
      </w:pBdr>
      <w:spacing w:before="100" w:beforeAutospacing="1" w:after="100" w:afterAutospacing="1"/>
      <w:jc w:val="center"/>
      <w:textAlignment w:val="center"/>
    </w:pPr>
    <w:rPr>
      <w:rFonts w:eastAsia="Arial Unicode MS"/>
      <w:b/>
      <w:bCs/>
      <w:sz w:val="14"/>
      <w:szCs w:val="14"/>
    </w:rPr>
  </w:style>
  <w:style w:type="paragraph" w:customStyle="1" w:styleId="xl29">
    <w:name w:val="xl29"/>
    <w:basedOn w:val="Normale"/>
    <w:uiPriority w:val="99"/>
    <w:rsid w:val="009072DB"/>
    <w:pPr>
      <w:pBdr>
        <w:top w:val="single" w:sz="4" w:space="0" w:color="auto"/>
        <w:bottom w:val="single" w:sz="4" w:space="0" w:color="auto"/>
      </w:pBdr>
      <w:spacing w:before="100" w:beforeAutospacing="1" w:after="100" w:afterAutospacing="1"/>
    </w:pPr>
    <w:rPr>
      <w:rFonts w:eastAsia="Arial Unicode MS"/>
      <w:sz w:val="14"/>
      <w:szCs w:val="14"/>
    </w:rPr>
  </w:style>
  <w:style w:type="paragraph" w:styleId="Elenco">
    <w:name w:val="List"/>
    <w:basedOn w:val="Normale"/>
    <w:uiPriority w:val="99"/>
    <w:rsid w:val="009072DB"/>
    <w:pPr>
      <w:ind w:left="283" w:hanging="283"/>
    </w:pPr>
    <w:rPr>
      <w:lang w:eastAsia="en-US"/>
    </w:rPr>
  </w:style>
  <w:style w:type="paragraph" w:styleId="Elenco2">
    <w:name w:val="List 2"/>
    <w:basedOn w:val="Normale"/>
    <w:uiPriority w:val="99"/>
    <w:rsid w:val="009072DB"/>
    <w:pPr>
      <w:ind w:left="566" w:hanging="283"/>
    </w:pPr>
    <w:rPr>
      <w:lang w:eastAsia="en-US"/>
    </w:rPr>
  </w:style>
  <w:style w:type="paragraph" w:styleId="Elenco3">
    <w:name w:val="List 3"/>
    <w:basedOn w:val="Normale"/>
    <w:uiPriority w:val="99"/>
    <w:rsid w:val="009072DB"/>
    <w:pPr>
      <w:ind w:left="849" w:hanging="283"/>
    </w:pPr>
    <w:rPr>
      <w:lang w:eastAsia="en-US"/>
    </w:rPr>
  </w:style>
  <w:style w:type="paragraph" w:styleId="Elenco4">
    <w:name w:val="List 4"/>
    <w:basedOn w:val="Normale"/>
    <w:uiPriority w:val="99"/>
    <w:rsid w:val="009072DB"/>
    <w:pPr>
      <w:ind w:left="1132" w:hanging="283"/>
    </w:pPr>
    <w:rPr>
      <w:lang w:eastAsia="en-US"/>
    </w:rPr>
  </w:style>
  <w:style w:type="paragraph" w:styleId="Formuladiapertura">
    <w:name w:val="Salutation"/>
    <w:basedOn w:val="Normale"/>
    <w:next w:val="Normale"/>
    <w:link w:val="FormuladiaperturaCarattere"/>
    <w:uiPriority w:val="99"/>
    <w:rsid w:val="009072DB"/>
    <w:rPr>
      <w:lang w:eastAsia="en-US"/>
    </w:rPr>
  </w:style>
  <w:style w:type="character" w:customStyle="1" w:styleId="FormuladiaperturaCarattere">
    <w:name w:val="Formula di apertura Carattere"/>
    <w:basedOn w:val="Carpredefinitoparagrafo"/>
    <w:link w:val="Formuladiapertura"/>
    <w:uiPriority w:val="99"/>
    <w:rsid w:val="009072DB"/>
    <w:rPr>
      <w:rFonts w:ascii="Times New Roman" w:eastAsia="Times New Roman" w:hAnsi="Times New Roman" w:cs="Times New Roman"/>
      <w:lang w:eastAsia="en-US"/>
    </w:rPr>
  </w:style>
  <w:style w:type="paragraph" w:styleId="Formuladichiusura">
    <w:name w:val="Closing"/>
    <w:basedOn w:val="Normale"/>
    <w:link w:val="FormuladichiusuraCarattere"/>
    <w:uiPriority w:val="99"/>
    <w:rsid w:val="009072DB"/>
    <w:pPr>
      <w:ind w:left="4252"/>
    </w:pPr>
    <w:rPr>
      <w:lang w:eastAsia="en-US"/>
    </w:rPr>
  </w:style>
  <w:style w:type="character" w:customStyle="1" w:styleId="FormuladichiusuraCarattere">
    <w:name w:val="Formula di chiusura Carattere"/>
    <w:basedOn w:val="Carpredefinitoparagrafo"/>
    <w:link w:val="Formuladichiusura"/>
    <w:uiPriority w:val="99"/>
    <w:rsid w:val="009072DB"/>
    <w:rPr>
      <w:rFonts w:ascii="Times New Roman" w:eastAsia="Times New Roman" w:hAnsi="Times New Roman" w:cs="Times New Roman"/>
      <w:lang w:eastAsia="en-US"/>
    </w:rPr>
  </w:style>
  <w:style w:type="paragraph" w:styleId="Data">
    <w:name w:val="Date"/>
    <w:basedOn w:val="Normale"/>
    <w:next w:val="Normale"/>
    <w:link w:val="DataCarattere"/>
    <w:uiPriority w:val="99"/>
    <w:rsid w:val="009072DB"/>
    <w:rPr>
      <w:lang w:eastAsia="en-US"/>
    </w:rPr>
  </w:style>
  <w:style w:type="character" w:customStyle="1" w:styleId="DataCarattere">
    <w:name w:val="Data Carattere"/>
    <w:basedOn w:val="Carpredefinitoparagrafo"/>
    <w:link w:val="Data"/>
    <w:uiPriority w:val="99"/>
    <w:rsid w:val="009072DB"/>
    <w:rPr>
      <w:rFonts w:ascii="Times New Roman" w:eastAsia="Times New Roman" w:hAnsi="Times New Roman" w:cs="Times New Roman"/>
      <w:lang w:eastAsia="en-US"/>
    </w:rPr>
  </w:style>
  <w:style w:type="paragraph" w:styleId="Puntoelenco">
    <w:name w:val="List Bullet"/>
    <w:basedOn w:val="Normale"/>
    <w:uiPriority w:val="99"/>
    <w:rsid w:val="009072DB"/>
    <w:pPr>
      <w:tabs>
        <w:tab w:val="num" w:pos="720"/>
      </w:tabs>
      <w:ind w:left="360" w:hanging="360"/>
    </w:pPr>
    <w:rPr>
      <w:lang w:eastAsia="en-US"/>
    </w:rPr>
  </w:style>
  <w:style w:type="paragraph" w:styleId="Puntoelenco2">
    <w:name w:val="List Bullet 2"/>
    <w:basedOn w:val="Normale"/>
    <w:uiPriority w:val="99"/>
    <w:rsid w:val="009072DB"/>
    <w:pPr>
      <w:tabs>
        <w:tab w:val="num" w:pos="643"/>
        <w:tab w:val="num" w:pos="1440"/>
      </w:tabs>
      <w:ind w:left="643" w:hanging="360"/>
    </w:pPr>
    <w:rPr>
      <w:lang w:eastAsia="en-US"/>
    </w:rPr>
  </w:style>
  <w:style w:type="paragraph" w:styleId="Puntoelenco3">
    <w:name w:val="List Bullet 3"/>
    <w:basedOn w:val="Normale"/>
    <w:uiPriority w:val="99"/>
    <w:rsid w:val="009072DB"/>
    <w:pPr>
      <w:tabs>
        <w:tab w:val="num" w:pos="502"/>
        <w:tab w:val="num" w:pos="720"/>
        <w:tab w:val="num" w:pos="926"/>
      </w:tabs>
      <w:ind w:left="926" w:hanging="360"/>
    </w:pPr>
    <w:rPr>
      <w:lang w:eastAsia="en-US"/>
    </w:rPr>
  </w:style>
  <w:style w:type="paragraph" w:styleId="Elencocontinua">
    <w:name w:val="List Continue"/>
    <w:basedOn w:val="Normale"/>
    <w:uiPriority w:val="99"/>
    <w:rsid w:val="009072DB"/>
    <w:pPr>
      <w:spacing w:after="120"/>
      <w:ind w:left="283"/>
    </w:pPr>
    <w:rPr>
      <w:lang w:eastAsia="en-US"/>
    </w:rPr>
  </w:style>
  <w:style w:type="paragraph" w:styleId="Elencocontinua2">
    <w:name w:val="List Continue 2"/>
    <w:basedOn w:val="Normale"/>
    <w:uiPriority w:val="99"/>
    <w:rsid w:val="009072DB"/>
    <w:pPr>
      <w:spacing w:after="120"/>
      <w:ind w:left="566"/>
    </w:pPr>
    <w:rPr>
      <w:lang w:eastAsia="en-US"/>
    </w:rPr>
  </w:style>
  <w:style w:type="paragraph" w:styleId="Elencocontinua3">
    <w:name w:val="List Continue 3"/>
    <w:basedOn w:val="Normale"/>
    <w:uiPriority w:val="99"/>
    <w:rsid w:val="009072DB"/>
    <w:pPr>
      <w:spacing w:after="120"/>
      <w:ind w:left="849"/>
    </w:pPr>
    <w:rPr>
      <w:lang w:eastAsia="en-US"/>
    </w:rPr>
  </w:style>
  <w:style w:type="paragraph" w:styleId="Elencocontinua4">
    <w:name w:val="List Continue 4"/>
    <w:basedOn w:val="Normale"/>
    <w:uiPriority w:val="99"/>
    <w:rsid w:val="009072DB"/>
    <w:pPr>
      <w:spacing w:after="120"/>
      <w:ind w:left="1132"/>
    </w:pPr>
    <w:rPr>
      <w:lang w:eastAsia="en-US"/>
    </w:rPr>
  </w:style>
  <w:style w:type="paragraph" w:styleId="Primorientrocorpodeltesto">
    <w:name w:val="Body Text First Indent"/>
    <w:basedOn w:val="Corpodeltesto"/>
    <w:link w:val="PrimorientrocorpodeltestoCarattere"/>
    <w:uiPriority w:val="99"/>
    <w:rsid w:val="009072DB"/>
    <w:pPr>
      <w:tabs>
        <w:tab w:val="clear" w:pos="567"/>
        <w:tab w:val="clear" w:pos="1134"/>
        <w:tab w:val="clear" w:pos="1702"/>
        <w:tab w:val="clear" w:pos="2269"/>
        <w:tab w:val="clear" w:pos="2835"/>
        <w:tab w:val="clear" w:pos="3402"/>
        <w:tab w:val="clear" w:pos="3969"/>
      </w:tabs>
      <w:spacing w:after="120"/>
      <w:ind w:right="0" w:firstLine="210"/>
      <w:jc w:val="left"/>
    </w:pPr>
  </w:style>
  <w:style w:type="character" w:customStyle="1" w:styleId="PrimorientrocorpodeltestoCarattere">
    <w:name w:val="Primo rientro corpo del testo Carattere"/>
    <w:basedOn w:val="CorpodeltestoCarattere"/>
    <w:link w:val="Primorientrocorpodeltesto"/>
    <w:uiPriority w:val="99"/>
    <w:rsid w:val="009072DB"/>
    <w:rPr>
      <w:rFonts w:ascii="Times New Roman" w:eastAsia="Times New Roman" w:hAnsi="Times New Roman" w:cs="Times New Roman"/>
      <w:lang w:eastAsia="en-US"/>
    </w:rPr>
  </w:style>
  <w:style w:type="paragraph" w:styleId="Primorientrocorpodeltesto2">
    <w:name w:val="Body Text First Indent 2"/>
    <w:basedOn w:val="Rientrocorpodeltesto"/>
    <w:link w:val="Primorientrocorpodeltesto2Carattere"/>
    <w:uiPriority w:val="99"/>
    <w:rsid w:val="009072DB"/>
    <w:pPr>
      <w:spacing w:after="120"/>
      <w:ind w:left="283" w:firstLine="210"/>
    </w:pPr>
    <w:rPr>
      <w:sz w:val="24"/>
      <w:szCs w:val="24"/>
    </w:rPr>
  </w:style>
  <w:style w:type="character" w:customStyle="1" w:styleId="Primorientrocorpodeltesto2Carattere">
    <w:name w:val="Primo rientro corpo del testo 2 Carattere"/>
    <w:basedOn w:val="RientrocorpodeltestoCarattere"/>
    <w:link w:val="Primorientrocorpodeltesto2"/>
    <w:uiPriority w:val="99"/>
    <w:rsid w:val="009072DB"/>
    <w:rPr>
      <w:rFonts w:ascii="Times New Roman" w:eastAsia="Times New Roman" w:hAnsi="Times New Roman" w:cs="Times New Roman"/>
      <w:sz w:val="20"/>
      <w:szCs w:val="20"/>
      <w:lang w:eastAsia="en-US"/>
    </w:rPr>
  </w:style>
  <w:style w:type="character" w:styleId="Rimandonotaapidipagina">
    <w:name w:val="footnote reference"/>
    <w:basedOn w:val="Carpredefinitoparagrafo"/>
    <w:uiPriority w:val="99"/>
    <w:rsid w:val="009072DB"/>
    <w:rPr>
      <w:rFonts w:cs="Times New Roman"/>
      <w:vertAlign w:val="superscript"/>
    </w:rPr>
  </w:style>
  <w:style w:type="paragraph" w:styleId="NormaleWeb">
    <w:name w:val="Normal (Web)"/>
    <w:basedOn w:val="Normale"/>
    <w:uiPriority w:val="99"/>
    <w:rsid w:val="009072DB"/>
    <w:pPr>
      <w:spacing w:before="100" w:beforeAutospacing="1" w:after="100" w:afterAutospacing="1"/>
    </w:pPr>
  </w:style>
  <w:style w:type="paragraph" w:styleId="Testocommento">
    <w:name w:val="annotation text"/>
    <w:basedOn w:val="Normale"/>
    <w:link w:val="TestocommentoCarattere"/>
    <w:uiPriority w:val="99"/>
    <w:semiHidden/>
    <w:rsid w:val="009072DB"/>
    <w:rPr>
      <w:sz w:val="20"/>
      <w:szCs w:val="20"/>
    </w:rPr>
  </w:style>
  <w:style w:type="character" w:customStyle="1" w:styleId="TestocommentoCarattere">
    <w:name w:val="Testo commento Carattere"/>
    <w:basedOn w:val="Carpredefinitoparagrafo"/>
    <w:link w:val="Testocommento"/>
    <w:uiPriority w:val="99"/>
    <w:semiHidden/>
    <w:rsid w:val="009072DB"/>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rsid w:val="009072DB"/>
    <w:rPr>
      <w:b/>
      <w:bCs/>
    </w:rPr>
  </w:style>
  <w:style w:type="character" w:customStyle="1" w:styleId="SoggettocommentoCarattere">
    <w:name w:val="Soggetto commento Carattere"/>
    <w:basedOn w:val="TestocommentoCarattere"/>
    <w:link w:val="Soggettocommento"/>
    <w:uiPriority w:val="99"/>
    <w:semiHidden/>
    <w:rsid w:val="009072DB"/>
    <w:rPr>
      <w:rFonts w:ascii="Times New Roman" w:eastAsia="Times New Roman" w:hAnsi="Times New Roman" w:cs="Times New Roman"/>
      <w:b/>
      <w:bCs/>
      <w:sz w:val="20"/>
      <w:szCs w:val="20"/>
    </w:rPr>
  </w:style>
  <w:style w:type="paragraph" w:customStyle="1" w:styleId="Testo">
    <w:name w:val="Testo"/>
    <w:basedOn w:val="Normale"/>
    <w:uiPriority w:val="99"/>
    <w:rsid w:val="009072DB"/>
    <w:pPr>
      <w:suppressAutoHyphens/>
      <w:spacing w:after="180"/>
      <w:jc w:val="both"/>
    </w:pPr>
    <w:rPr>
      <w:rFonts w:ascii="Times" w:hAnsi="Times"/>
      <w:szCs w:val="20"/>
    </w:rPr>
  </w:style>
  <w:style w:type="paragraph" w:customStyle="1" w:styleId="22ndbullet">
    <w:name w:val="2 2nd bullet"/>
    <w:basedOn w:val="Normale"/>
    <w:uiPriority w:val="99"/>
    <w:rsid w:val="009072DB"/>
    <w:pPr>
      <w:numPr>
        <w:numId w:val="2"/>
      </w:numPr>
    </w:pPr>
  </w:style>
  <w:style w:type="paragraph" w:customStyle="1" w:styleId="Titolo10">
    <w:name w:val="Titolo 1 +"/>
    <w:basedOn w:val="Normale"/>
    <w:link w:val="Titolo1Carattere0"/>
    <w:uiPriority w:val="99"/>
    <w:rsid w:val="009072DB"/>
    <w:pPr>
      <w:spacing w:line="360" w:lineRule="auto"/>
      <w:jc w:val="both"/>
    </w:pPr>
    <w:rPr>
      <w:b/>
      <w:bCs/>
      <w:szCs w:val="20"/>
      <w:u w:val="single"/>
    </w:rPr>
  </w:style>
  <w:style w:type="character" w:customStyle="1" w:styleId="Titolo1Carattere0">
    <w:name w:val="Titolo 1 + Carattere"/>
    <w:basedOn w:val="Carpredefinitoparagrafo"/>
    <w:link w:val="Titolo10"/>
    <w:uiPriority w:val="99"/>
    <w:locked/>
    <w:rsid w:val="009072DB"/>
    <w:rPr>
      <w:rFonts w:ascii="Times New Roman" w:eastAsia="Times New Roman" w:hAnsi="Times New Roman" w:cs="Times New Roman"/>
      <w:b/>
      <w:bCs/>
      <w:szCs w:val="20"/>
      <w:u w:val="single"/>
    </w:rPr>
  </w:style>
  <w:style w:type="paragraph" w:customStyle="1" w:styleId="Normaleg">
    <w:name w:val="Normaleg"/>
    <w:basedOn w:val="Normale"/>
    <w:uiPriority w:val="99"/>
    <w:rsid w:val="009072DB"/>
    <w:pPr>
      <w:widowControl w:val="0"/>
      <w:tabs>
        <w:tab w:val="left" w:pos="284"/>
        <w:tab w:val="left" w:pos="567"/>
        <w:tab w:val="left" w:pos="851"/>
        <w:tab w:val="left" w:pos="1134"/>
      </w:tabs>
      <w:jc w:val="both"/>
    </w:pPr>
    <w:rPr>
      <w:rFonts w:ascii="CG Times (WN)" w:hAnsi="CG Times (WN)"/>
      <w:szCs w:val="20"/>
    </w:rPr>
  </w:style>
  <w:style w:type="paragraph" w:styleId="Sommario1">
    <w:name w:val="toc 1"/>
    <w:basedOn w:val="Normale"/>
    <w:next w:val="Normale"/>
    <w:autoRedefine/>
    <w:uiPriority w:val="39"/>
    <w:rsid w:val="009072DB"/>
    <w:pPr>
      <w:tabs>
        <w:tab w:val="right" w:leader="dot" w:pos="9629"/>
      </w:tabs>
      <w:spacing w:before="120"/>
    </w:pPr>
    <w:rPr>
      <w:b/>
      <w:noProof/>
      <w:sz w:val="28"/>
      <w:szCs w:val="28"/>
    </w:rPr>
  </w:style>
  <w:style w:type="paragraph" w:styleId="Sommario2">
    <w:name w:val="toc 2"/>
    <w:basedOn w:val="Normale"/>
    <w:next w:val="Normale"/>
    <w:autoRedefine/>
    <w:uiPriority w:val="39"/>
    <w:rsid w:val="009072DB"/>
    <w:pPr>
      <w:tabs>
        <w:tab w:val="right" w:leader="dot" w:pos="9629"/>
      </w:tabs>
      <w:ind w:left="142"/>
    </w:pPr>
    <w:rPr>
      <w:bCs/>
      <w:caps/>
      <w:noProof/>
      <w:sz w:val="20"/>
      <w:szCs w:val="20"/>
    </w:rPr>
  </w:style>
  <w:style w:type="paragraph" w:styleId="Sommario3">
    <w:name w:val="toc 3"/>
    <w:basedOn w:val="Normale"/>
    <w:next w:val="Normale"/>
    <w:autoRedefine/>
    <w:uiPriority w:val="99"/>
    <w:rsid w:val="009072DB"/>
    <w:pPr>
      <w:tabs>
        <w:tab w:val="right" w:leader="dot" w:pos="9629"/>
      </w:tabs>
      <w:ind w:left="567"/>
    </w:pPr>
  </w:style>
  <w:style w:type="character" w:styleId="Collegamentoipertestuale">
    <w:name w:val="Hyperlink"/>
    <w:basedOn w:val="Carpredefinitoparagrafo"/>
    <w:uiPriority w:val="99"/>
    <w:rsid w:val="009072DB"/>
    <w:rPr>
      <w:rFonts w:cs="Times New Roman"/>
      <w:color w:val="0000FF"/>
      <w:u w:val="single"/>
    </w:rPr>
  </w:style>
  <w:style w:type="paragraph" w:styleId="Paragrafoelenco">
    <w:name w:val="List Paragraph"/>
    <w:basedOn w:val="Normale"/>
    <w:uiPriority w:val="34"/>
    <w:qFormat/>
    <w:rsid w:val="009072DB"/>
    <w:pPr>
      <w:ind w:left="708"/>
    </w:pPr>
  </w:style>
  <w:style w:type="character" w:styleId="Enfasicorsivo">
    <w:name w:val="Emphasis"/>
    <w:basedOn w:val="Carpredefinitoparagrafo"/>
    <w:uiPriority w:val="99"/>
    <w:qFormat/>
    <w:rsid w:val="009072DB"/>
    <w:rPr>
      <w:rFonts w:cs="Times New Roman"/>
      <w:i/>
      <w:iCs/>
    </w:rPr>
  </w:style>
  <w:style w:type="character" w:styleId="Enfasigrassetto">
    <w:name w:val="Strong"/>
    <w:basedOn w:val="Carpredefinitoparagrafo"/>
    <w:uiPriority w:val="99"/>
    <w:qFormat/>
    <w:rsid w:val="009072DB"/>
    <w:rPr>
      <w:rFonts w:cs="Times New Roman"/>
      <w:b/>
      <w:bCs/>
    </w:rPr>
  </w:style>
  <w:style w:type="paragraph" w:styleId="Mappadocumento">
    <w:name w:val="Document Map"/>
    <w:basedOn w:val="Normale"/>
    <w:link w:val="MappadocumentoCarattere"/>
    <w:uiPriority w:val="99"/>
    <w:semiHidden/>
    <w:rsid w:val="009072DB"/>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9072DB"/>
    <w:rPr>
      <w:rFonts w:ascii="Tahoma" w:eastAsia="Times New Roman" w:hAnsi="Tahoma" w:cs="Tahoma"/>
      <w:sz w:val="16"/>
      <w:szCs w:val="16"/>
    </w:rPr>
  </w:style>
  <w:style w:type="paragraph" w:customStyle="1" w:styleId="Default">
    <w:name w:val="Default"/>
    <w:rsid w:val="009072DB"/>
    <w:pPr>
      <w:autoSpaceDE w:val="0"/>
      <w:autoSpaceDN w:val="0"/>
      <w:adjustRightInd w:val="0"/>
    </w:pPr>
    <w:rPr>
      <w:rFonts w:ascii="Arial Unicode MS" w:eastAsia="Arial Unicode MS" w:hAnsi="Times New Roman" w:cs="Arial Unicode MS"/>
      <w:color w:val="000000"/>
    </w:rPr>
  </w:style>
  <w:style w:type="character" w:customStyle="1" w:styleId="CarattereCarattere1">
    <w:name w:val="Carattere Carattere1"/>
    <w:basedOn w:val="Carpredefinitoparagrafo"/>
    <w:rsid w:val="009072DB"/>
    <w:rPr>
      <w:rFonts w:cs="Times New Roman"/>
      <w:sz w:val="24"/>
      <w:szCs w:val="24"/>
      <w:lang w:val="it-IT" w:eastAsia="it-IT" w:bidi="ar-SA"/>
    </w:rPr>
  </w:style>
  <w:style w:type="paragraph" w:styleId="Nessunaspaziatura">
    <w:name w:val="No Spacing"/>
    <w:link w:val="NessunaspaziaturaCarattere"/>
    <w:uiPriority w:val="1"/>
    <w:qFormat/>
    <w:rsid w:val="009072DB"/>
    <w:rPr>
      <w:rFonts w:ascii="Times New Roman" w:eastAsia="Calibri" w:hAnsi="Times New Roman" w:cs="Times New Roman"/>
    </w:rPr>
  </w:style>
  <w:style w:type="character" w:customStyle="1" w:styleId="NessunaspaziaturaCarattere">
    <w:name w:val="Nessuna spaziatura Carattere"/>
    <w:basedOn w:val="Carpredefinitoparagrafo"/>
    <w:link w:val="Nessunaspaziatura"/>
    <w:uiPriority w:val="1"/>
    <w:rsid w:val="009072DB"/>
    <w:rPr>
      <w:rFonts w:ascii="Times New Roman" w:eastAsia="Calibri" w:hAnsi="Times New Roman" w:cs="Times New Roman"/>
    </w:rPr>
  </w:style>
  <w:style w:type="character" w:customStyle="1" w:styleId="TestonotadichiusuraCarattere1">
    <w:name w:val="Testo nota di chiusura Carattere1"/>
    <w:basedOn w:val="Carpredefinitoparagrafo"/>
    <w:uiPriority w:val="99"/>
    <w:semiHidden/>
    <w:rsid w:val="009072DB"/>
    <w:rPr>
      <w:rFonts w:ascii="Times New Roman" w:eastAsia="Times New Roman" w:hAnsi="Times New Roman" w:cs="Times New Roman"/>
    </w:rPr>
  </w:style>
  <w:style w:type="character" w:customStyle="1" w:styleId="SoggettocommentoCarattere1">
    <w:name w:val="Soggetto commento Carattere1"/>
    <w:basedOn w:val="TestocommentoCarattere"/>
    <w:uiPriority w:val="99"/>
    <w:semiHidden/>
    <w:rsid w:val="009072DB"/>
    <w:rPr>
      <w:rFonts w:ascii="Times New Roman" w:eastAsia="Times New Roman" w:hAnsi="Times New Roman" w:cs="Times New Roman"/>
      <w:b/>
      <w:bCs/>
      <w:sz w:val="20"/>
      <w:szCs w:val="20"/>
    </w:rPr>
  </w:style>
  <w:style w:type="character" w:customStyle="1" w:styleId="MappadocumentoCarattere1">
    <w:name w:val="Mappa documento Carattere1"/>
    <w:basedOn w:val="Carpredefinitoparagrafo"/>
    <w:uiPriority w:val="99"/>
    <w:semiHidden/>
    <w:rsid w:val="009072DB"/>
    <w:rPr>
      <w:rFonts w:ascii="Lucida Grande" w:eastAsia="Times New Roman" w:hAnsi="Lucida Grande" w:cs="Lucida Grande"/>
    </w:rPr>
  </w:style>
  <w:style w:type="paragraph" w:customStyle="1" w:styleId="Paragrafoelenco1">
    <w:name w:val="Paragrafo elenco1"/>
    <w:basedOn w:val="Normale"/>
    <w:rsid w:val="009072DB"/>
    <w:pPr>
      <w:ind w:left="720"/>
      <w:contextualSpacing/>
    </w:pPr>
    <w:rPr>
      <w:rFonts w:ascii="Helvetica" w:eastAsia="Calibri" w:hAnsi="Helvetic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72DB"/>
    <w:rPr>
      <w:rFonts w:ascii="Times New Roman" w:eastAsia="Times New Roman" w:hAnsi="Times New Roman" w:cs="Times New Roman"/>
    </w:rPr>
  </w:style>
  <w:style w:type="paragraph" w:styleId="Titolo1">
    <w:name w:val="heading 1"/>
    <w:basedOn w:val="Normale"/>
    <w:next w:val="Normale"/>
    <w:link w:val="Titolo1Carattere"/>
    <w:uiPriority w:val="99"/>
    <w:qFormat/>
    <w:rsid w:val="00CF46D1"/>
    <w:pPr>
      <w:tabs>
        <w:tab w:val="num" w:pos="432"/>
      </w:tabs>
      <w:spacing w:before="240"/>
      <w:jc w:val="both"/>
      <w:outlineLvl w:val="0"/>
    </w:pPr>
    <w:rPr>
      <w:b/>
      <w:bCs/>
      <w:lang w:val="en-US" w:eastAsia="en-US"/>
    </w:rPr>
  </w:style>
  <w:style w:type="paragraph" w:styleId="Titolo2">
    <w:name w:val="heading 2"/>
    <w:basedOn w:val="Normale"/>
    <w:next w:val="Normale"/>
    <w:link w:val="Titolo2Carattere"/>
    <w:uiPriority w:val="99"/>
    <w:qFormat/>
    <w:rsid w:val="00143CFE"/>
    <w:pPr>
      <w:tabs>
        <w:tab w:val="num" w:pos="576"/>
      </w:tabs>
      <w:spacing w:before="120"/>
      <w:ind w:left="576" w:hanging="576"/>
      <w:jc w:val="both"/>
      <w:outlineLvl w:val="1"/>
    </w:pPr>
    <w:rPr>
      <w:bCs/>
      <w:lang w:val="en-US" w:eastAsia="en-US"/>
    </w:rPr>
  </w:style>
  <w:style w:type="paragraph" w:styleId="Titolo3">
    <w:name w:val="heading 3"/>
    <w:basedOn w:val="Normale"/>
    <w:next w:val="Rientronormale"/>
    <w:link w:val="Titolo3Carattere"/>
    <w:uiPriority w:val="99"/>
    <w:qFormat/>
    <w:rsid w:val="009072DB"/>
    <w:pPr>
      <w:tabs>
        <w:tab w:val="num" w:pos="720"/>
      </w:tabs>
      <w:ind w:left="720" w:hanging="720"/>
      <w:outlineLvl w:val="2"/>
    </w:pPr>
    <w:rPr>
      <w:b/>
      <w:bCs/>
      <w:lang w:eastAsia="en-US"/>
    </w:rPr>
  </w:style>
  <w:style w:type="paragraph" w:styleId="Titolo4">
    <w:name w:val="heading 4"/>
    <w:basedOn w:val="Normale"/>
    <w:next w:val="Rientronormale"/>
    <w:link w:val="Titolo4Carattere"/>
    <w:uiPriority w:val="99"/>
    <w:qFormat/>
    <w:rsid w:val="009072DB"/>
    <w:pPr>
      <w:tabs>
        <w:tab w:val="num" w:pos="864"/>
      </w:tabs>
      <w:ind w:left="864" w:hanging="864"/>
      <w:outlineLvl w:val="3"/>
    </w:pPr>
    <w:rPr>
      <w:u w:val="single"/>
      <w:lang w:eastAsia="en-US"/>
    </w:rPr>
  </w:style>
  <w:style w:type="paragraph" w:styleId="Titolo5">
    <w:name w:val="heading 5"/>
    <w:basedOn w:val="Normale"/>
    <w:next w:val="Rientronormale"/>
    <w:link w:val="Titolo5Carattere"/>
    <w:uiPriority w:val="99"/>
    <w:qFormat/>
    <w:rsid w:val="009072DB"/>
    <w:pPr>
      <w:tabs>
        <w:tab w:val="num" w:pos="1008"/>
      </w:tabs>
      <w:ind w:left="1008" w:hanging="1008"/>
      <w:outlineLvl w:val="4"/>
    </w:pPr>
    <w:rPr>
      <w:b/>
      <w:bCs/>
      <w:sz w:val="20"/>
      <w:szCs w:val="20"/>
      <w:lang w:eastAsia="en-US"/>
    </w:rPr>
  </w:style>
  <w:style w:type="paragraph" w:styleId="Titolo6">
    <w:name w:val="heading 6"/>
    <w:basedOn w:val="Normale"/>
    <w:next w:val="Rientronormale"/>
    <w:link w:val="Titolo6Carattere"/>
    <w:uiPriority w:val="99"/>
    <w:qFormat/>
    <w:rsid w:val="009072DB"/>
    <w:pPr>
      <w:tabs>
        <w:tab w:val="num" w:pos="1152"/>
      </w:tabs>
      <w:ind w:left="1152" w:hanging="1152"/>
      <w:outlineLvl w:val="5"/>
    </w:pPr>
    <w:rPr>
      <w:sz w:val="20"/>
      <w:szCs w:val="20"/>
      <w:u w:val="single"/>
      <w:lang w:eastAsia="en-US"/>
    </w:rPr>
  </w:style>
  <w:style w:type="paragraph" w:styleId="Titolo7">
    <w:name w:val="heading 7"/>
    <w:basedOn w:val="Normale"/>
    <w:next w:val="Rientronormale"/>
    <w:link w:val="Titolo7Carattere"/>
    <w:uiPriority w:val="99"/>
    <w:qFormat/>
    <w:rsid w:val="009072DB"/>
    <w:pPr>
      <w:tabs>
        <w:tab w:val="num" w:pos="1296"/>
      </w:tabs>
      <w:ind w:left="1296" w:hanging="1296"/>
      <w:outlineLvl w:val="6"/>
    </w:pPr>
    <w:rPr>
      <w:i/>
      <w:iCs/>
      <w:sz w:val="20"/>
      <w:szCs w:val="20"/>
      <w:lang w:eastAsia="en-US"/>
    </w:rPr>
  </w:style>
  <w:style w:type="paragraph" w:styleId="Titolo8">
    <w:name w:val="heading 8"/>
    <w:basedOn w:val="Normale"/>
    <w:next w:val="Rientronormale"/>
    <w:link w:val="Titolo8Carattere"/>
    <w:uiPriority w:val="99"/>
    <w:qFormat/>
    <w:rsid w:val="009072DB"/>
    <w:pPr>
      <w:tabs>
        <w:tab w:val="num" w:pos="1440"/>
      </w:tabs>
      <w:ind w:left="1440" w:hanging="1440"/>
      <w:outlineLvl w:val="7"/>
    </w:pPr>
    <w:rPr>
      <w:i/>
      <w:iCs/>
      <w:sz w:val="20"/>
      <w:szCs w:val="20"/>
      <w:lang w:eastAsia="en-US"/>
    </w:rPr>
  </w:style>
  <w:style w:type="paragraph" w:styleId="Titolo9">
    <w:name w:val="heading 9"/>
    <w:basedOn w:val="Normale"/>
    <w:next w:val="Rientronormale"/>
    <w:link w:val="Titolo9Carattere"/>
    <w:uiPriority w:val="99"/>
    <w:qFormat/>
    <w:rsid w:val="009072DB"/>
    <w:pPr>
      <w:tabs>
        <w:tab w:val="num" w:pos="1584"/>
      </w:tabs>
      <w:ind w:left="1584" w:hanging="1584"/>
      <w:outlineLvl w:val="8"/>
    </w:pPr>
    <w:rPr>
      <w:i/>
      <w:iCs/>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CF46D1"/>
    <w:rPr>
      <w:rFonts w:ascii="Times New Roman" w:eastAsia="Times New Roman" w:hAnsi="Times New Roman" w:cs="Times New Roman"/>
      <w:b/>
      <w:bCs/>
      <w:lang w:val="en-US" w:eastAsia="en-US"/>
    </w:rPr>
  </w:style>
  <w:style w:type="character" w:customStyle="1" w:styleId="Titolo2Carattere">
    <w:name w:val="Titolo 2 Carattere"/>
    <w:basedOn w:val="Carpredefinitoparagrafo"/>
    <w:link w:val="Titolo2"/>
    <w:uiPriority w:val="99"/>
    <w:rsid w:val="00143CFE"/>
    <w:rPr>
      <w:rFonts w:ascii="Times New Roman" w:eastAsia="Times New Roman" w:hAnsi="Times New Roman" w:cs="Times New Roman"/>
      <w:bCs/>
      <w:lang w:val="en-US" w:eastAsia="en-US"/>
    </w:rPr>
  </w:style>
  <w:style w:type="paragraph" w:styleId="Rientronormale">
    <w:name w:val="Normal Indent"/>
    <w:basedOn w:val="Normale"/>
    <w:uiPriority w:val="99"/>
    <w:rsid w:val="009072DB"/>
    <w:pPr>
      <w:ind w:left="708"/>
    </w:pPr>
    <w:rPr>
      <w:lang w:eastAsia="en-US"/>
    </w:rPr>
  </w:style>
  <w:style w:type="character" w:customStyle="1" w:styleId="Titolo3Carattere">
    <w:name w:val="Titolo 3 Carattere"/>
    <w:basedOn w:val="Carpredefinitoparagrafo"/>
    <w:link w:val="Titolo3"/>
    <w:uiPriority w:val="99"/>
    <w:rsid w:val="009072DB"/>
    <w:rPr>
      <w:rFonts w:ascii="Times New Roman" w:eastAsia="Times New Roman" w:hAnsi="Times New Roman" w:cs="Times New Roman"/>
      <w:b/>
      <w:bCs/>
      <w:lang w:eastAsia="en-US"/>
    </w:rPr>
  </w:style>
  <w:style w:type="character" w:customStyle="1" w:styleId="Titolo4Carattere">
    <w:name w:val="Titolo 4 Carattere"/>
    <w:basedOn w:val="Carpredefinitoparagrafo"/>
    <w:link w:val="Titolo4"/>
    <w:uiPriority w:val="99"/>
    <w:rsid w:val="009072DB"/>
    <w:rPr>
      <w:rFonts w:ascii="Times New Roman" w:eastAsia="Times New Roman" w:hAnsi="Times New Roman" w:cs="Times New Roman"/>
      <w:u w:val="single"/>
      <w:lang w:eastAsia="en-US"/>
    </w:rPr>
  </w:style>
  <w:style w:type="character" w:customStyle="1" w:styleId="Titolo5Carattere">
    <w:name w:val="Titolo 5 Carattere"/>
    <w:basedOn w:val="Carpredefinitoparagrafo"/>
    <w:link w:val="Titolo5"/>
    <w:uiPriority w:val="99"/>
    <w:rsid w:val="009072DB"/>
    <w:rPr>
      <w:rFonts w:ascii="Times New Roman" w:eastAsia="Times New Roman" w:hAnsi="Times New Roman" w:cs="Times New Roman"/>
      <w:b/>
      <w:bCs/>
      <w:sz w:val="20"/>
      <w:szCs w:val="20"/>
      <w:lang w:eastAsia="en-US"/>
    </w:rPr>
  </w:style>
  <w:style w:type="character" w:customStyle="1" w:styleId="Titolo6Carattere">
    <w:name w:val="Titolo 6 Carattere"/>
    <w:basedOn w:val="Carpredefinitoparagrafo"/>
    <w:link w:val="Titolo6"/>
    <w:uiPriority w:val="99"/>
    <w:rsid w:val="009072DB"/>
    <w:rPr>
      <w:rFonts w:ascii="Times New Roman" w:eastAsia="Times New Roman" w:hAnsi="Times New Roman" w:cs="Times New Roman"/>
      <w:sz w:val="20"/>
      <w:szCs w:val="20"/>
      <w:u w:val="single"/>
      <w:lang w:eastAsia="en-US"/>
    </w:rPr>
  </w:style>
  <w:style w:type="character" w:customStyle="1" w:styleId="Titolo7Carattere">
    <w:name w:val="Titolo 7 Carattere"/>
    <w:basedOn w:val="Carpredefinitoparagrafo"/>
    <w:link w:val="Titolo7"/>
    <w:uiPriority w:val="99"/>
    <w:rsid w:val="009072DB"/>
    <w:rPr>
      <w:rFonts w:ascii="Times New Roman" w:eastAsia="Times New Roman" w:hAnsi="Times New Roman" w:cs="Times New Roman"/>
      <w:i/>
      <w:iCs/>
      <w:sz w:val="20"/>
      <w:szCs w:val="20"/>
      <w:lang w:eastAsia="en-US"/>
    </w:rPr>
  </w:style>
  <w:style w:type="character" w:customStyle="1" w:styleId="Titolo8Carattere">
    <w:name w:val="Titolo 8 Carattere"/>
    <w:basedOn w:val="Carpredefinitoparagrafo"/>
    <w:link w:val="Titolo8"/>
    <w:uiPriority w:val="99"/>
    <w:rsid w:val="009072DB"/>
    <w:rPr>
      <w:rFonts w:ascii="Times New Roman" w:eastAsia="Times New Roman" w:hAnsi="Times New Roman" w:cs="Times New Roman"/>
      <w:i/>
      <w:iCs/>
      <w:sz w:val="20"/>
      <w:szCs w:val="20"/>
      <w:lang w:eastAsia="en-US"/>
    </w:rPr>
  </w:style>
  <w:style w:type="character" w:customStyle="1" w:styleId="Titolo9Carattere">
    <w:name w:val="Titolo 9 Carattere"/>
    <w:basedOn w:val="Carpredefinitoparagrafo"/>
    <w:link w:val="Titolo9"/>
    <w:uiPriority w:val="99"/>
    <w:rsid w:val="009072DB"/>
    <w:rPr>
      <w:rFonts w:ascii="Times New Roman" w:eastAsia="Times New Roman" w:hAnsi="Times New Roman" w:cs="Times New Roman"/>
      <w:i/>
      <w:iCs/>
      <w:sz w:val="20"/>
      <w:szCs w:val="20"/>
      <w:lang w:eastAsia="en-US"/>
    </w:rPr>
  </w:style>
  <w:style w:type="paragraph" w:styleId="Testofumetto">
    <w:name w:val="Balloon Text"/>
    <w:basedOn w:val="Normale"/>
    <w:link w:val="TestofumettoCarattere"/>
    <w:uiPriority w:val="99"/>
    <w:semiHidden/>
    <w:unhideWhenUsed/>
    <w:rsid w:val="009072D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072DB"/>
    <w:rPr>
      <w:rFonts w:ascii="Lucida Grande" w:hAnsi="Lucida Grande" w:cs="Lucida Grande"/>
      <w:sz w:val="18"/>
      <w:szCs w:val="18"/>
    </w:rPr>
  </w:style>
  <w:style w:type="paragraph" w:styleId="Intestazione">
    <w:name w:val="header"/>
    <w:basedOn w:val="Normale"/>
    <w:link w:val="IntestazioneCarattere"/>
    <w:uiPriority w:val="99"/>
    <w:rsid w:val="009072DB"/>
    <w:pPr>
      <w:tabs>
        <w:tab w:val="center" w:pos="4819"/>
        <w:tab w:val="right" w:pos="9638"/>
      </w:tabs>
    </w:pPr>
  </w:style>
  <w:style w:type="character" w:customStyle="1" w:styleId="IntestazioneCarattere">
    <w:name w:val="Intestazione Carattere"/>
    <w:basedOn w:val="Carpredefinitoparagrafo"/>
    <w:link w:val="Intestazione"/>
    <w:uiPriority w:val="99"/>
    <w:rsid w:val="009072DB"/>
    <w:rPr>
      <w:rFonts w:ascii="Times New Roman" w:eastAsia="Times New Roman" w:hAnsi="Times New Roman" w:cs="Times New Roman"/>
    </w:rPr>
  </w:style>
  <w:style w:type="paragraph" w:styleId="Pidipagina">
    <w:name w:val="footer"/>
    <w:basedOn w:val="Normale"/>
    <w:link w:val="PidipaginaCarattere"/>
    <w:uiPriority w:val="99"/>
    <w:rsid w:val="009072DB"/>
    <w:pPr>
      <w:tabs>
        <w:tab w:val="center" w:pos="4819"/>
        <w:tab w:val="right" w:pos="9638"/>
      </w:tabs>
    </w:pPr>
  </w:style>
  <w:style w:type="character" w:customStyle="1" w:styleId="PidipaginaCarattere">
    <w:name w:val="Piè di pagina Carattere"/>
    <w:basedOn w:val="Carpredefinitoparagrafo"/>
    <w:link w:val="Pidipagina"/>
    <w:uiPriority w:val="99"/>
    <w:rsid w:val="009072DB"/>
    <w:rPr>
      <w:rFonts w:ascii="Times New Roman" w:eastAsia="Times New Roman" w:hAnsi="Times New Roman" w:cs="Times New Roman"/>
    </w:rPr>
  </w:style>
  <w:style w:type="paragraph" w:styleId="Testonotaapidipagina">
    <w:name w:val="footnote text"/>
    <w:basedOn w:val="Normale"/>
    <w:link w:val="TestonotaapidipaginaCarattere"/>
    <w:uiPriority w:val="99"/>
    <w:rsid w:val="009072DB"/>
    <w:rPr>
      <w:sz w:val="20"/>
      <w:szCs w:val="20"/>
      <w:lang w:eastAsia="en-US"/>
    </w:rPr>
  </w:style>
  <w:style w:type="character" w:customStyle="1" w:styleId="TestonotaapidipaginaCarattere">
    <w:name w:val="Testo nota a piè di pagina Carattere"/>
    <w:basedOn w:val="Carpredefinitoparagrafo"/>
    <w:link w:val="Testonotaapidipagina"/>
    <w:uiPriority w:val="99"/>
    <w:rsid w:val="009072DB"/>
    <w:rPr>
      <w:rFonts w:ascii="Times New Roman" w:eastAsia="Times New Roman" w:hAnsi="Times New Roman" w:cs="Times New Roman"/>
      <w:sz w:val="20"/>
      <w:szCs w:val="20"/>
      <w:lang w:eastAsia="en-US"/>
    </w:rPr>
  </w:style>
  <w:style w:type="paragraph" w:styleId="Titolo">
    <w:name w:val="Title"/>
    <w:basedOn w:val="Normale"/>
    <w:link w:val="TitoloCarattere"/>
    <w:uiPriority w:val="99"/>
    <w:qFormat/>
    <w:rsid w:val="009072DB"/>
    <w:pPr>
      <w:spacing w:before="1" w:after="1"/>
      <w:ind w:left="851" w:right="851" w:firstLine="1"/>
    </w:pPr>
    <w:rPr>
      <w:b/>
      <w:bCs/>
      <w:u w:val="single"/>
      <w:lang w:eastAsia="en-US"/>
    </w:rPr>
  </w:style>
  <w:style w:type="character" w:customStyle="1" w:styleId="TitoloCarattere">
    <w:name w:val="Titolo Carattere"/>
    <w:basedOn w:val="Carpredefinitoparagrafo"/>
    <w:link w:val="Titolo"/>
    <w:uiPriority w:val="99"/>
    <w:rsid w:val="009072DB"/>
    <w:rPr>
      <w:rFonts w:ascii="Times New Roman" w:eastAsia="Times New Roman" w:hAnsi="Times New Roman" w:cs="Times New Roman"/>
      <w:b/>
      <w:bCs/>
      <w:u w:val="single"/>
      <w:lang w:eastAsia="en-US"/>
    </w:rPr>
  </w:style>
  <w:style w:type="paragraph" w:customStyle="1" w:styleId="Sottotitolo1">
    <w:name w:val="Sottotitolo 1"/>
    <w:basedOn w:val="Normale"/>
    <w:uiPriority w:val="99"/>
    <w:rsid w:val="009072DB"/>
    <w:pPr>
      <w:spacing w:before="1" w:after="1"/>
      <w:ind w:left="851" w:right="851" w:firstLine="1"/>
    </w:pPr>
    <w:rPr>
      <w:b/>
      <w:bCs/>
      <w:i/>
      <w:iCs/>
      <w:u w:val="single"/>
      <w:lang w:eastAsia="en-US"/>
    </w:rPr>
  </w:style>
  <w:style w:type="paragraph" w:customStyle="1" w:styleId="rientrato">
    <w:name w:val="rientrato"/>
    <w:next w:val="Normale"/>
    <w:uiPriority w:val="99"/>
    <w:rsid w:val="009072DB"/>
    <w:pPr>
      <w:tabs>
        <w:tab w:val="left" w:pos="1134"/>
      </w:tabs>
      <w:ind w:left="1134" w:right="850" w:hanging="284"/>
      <w:jc w:val="both"/>
    </w:pPr>
    <w:rPr>
      <w:rFonts w:ascii="Times New Roman" w:eastAsia="Times New Roman" w:hAnsi="Times New Roman" w:cs="Times New Roman"/>
      <w:lang w:eastAsia="en-US"/>
    </w:rPr>
  </w:style>
  <w:style w:type="paragraph" w:customStyle="1" w:styleId="Corpotesto1">
    <w:name w:val="Corpo testo1"/>
    <w:uiPriority w:val="99"/>
    <w:rsid w:val="009072DB"/>
    <w:pPr>
      <w:ind w:firstLine="480"/>
    </w:pPr>
    <w:rPr>
      <w:rFonts w:ascii="Times New Roman" w:eastAsia="Times New Roman" w:hAnsi="Times New Roman" w:cs="Times New Roman"/>
      <w:color w:val="000000"/>
      <w:lang w:eastAsia="en-US"/>
    </w:rPr>
  </w:style>
  <w:style w:type="paragraph" w:styleId="Corpotesto">
    <w:name w:val="Body Text"/>
    <w:basedOn w:val="Normale"/>
    <w:link w:val="CorpotestoCarattere"/>
    <w:uiPriority w:val="99"/>
    <w:rsid w:val="009072DB"/>
    <w:pPr>
      <w:tabs>
        <w:tab w:val="left" w:pos="567"/>
        <w:tab w:val="left" w:pos="1134"/>
        <w:tab w:val="left" w:pos="1702"/>
        <w:tab w:val="left" w:pos="2269"/>
        <w:tab w:val="left" w:pos="2835"/>
        <w:tab w:val="left" w:pos="3402"/>
        <w:tab w:val="left" w:pos="3969"/>
      </w:tabs>
      <w:ind w:right="-1"/>
      <w:jc w:val="both"/>
    </w:pPr>
    <w:rPr>
      <w:lang w:eastAsia="en-US"/>
    </w:rPr>
  </w:style>
  <w:style w:type="character" w:customStyle="1" w:styleId="CorpotestoCarattere">
    <w:name w:val="Corpo testo Carattere"/>
    <w:basedOn w:val="Carpredefinitoparagrafo"/>
    <w:link w:val="Corpotesto"/>
    <w:uiPriority w:val="99"/>
    <w:rsid w:val="009072DB"/>
    <w:rPr>
      <w:rFonts w:ascii="Times New Roman" w:eastAsia="Times New Roman" w:hAnsi="Times New Roman" w:cs="Times New Roman"/>
      <w:lang w:eastAsia="en-US"/>
    </w:rPr>
  </w:style>
  <w:style w:type="paragraph" w:styleId="Corpodeltesto2">
    <w:name w:val="Body Text 2"/>
    <w:basedOn w:val="Normale"/>
    <w:link w:val="Corpodeltesto2Carattere"/>
    <w:uiPriority w:val="99"/>
    <w:rsid w:val="009072DB"/>
    <w:pPr>
      <w:spacing w:before="120"/>
      <w:jc w:val="both"/>
    </w:pPr>
    <w:rPr>
      <w:rFonts w:ascii="Tahoma" w:hAnsi="Tahoma" w:cs="Tahoma"/>
      <w:lang w:eastAsia="en-US"/>
    </w:rPr>
  </w:style>
  <w:style w:type="character" w:customStyle="1" w:styleId="Corpodeltesto2Carattere">
    <w:name w:val="Corpo del testo 2 Carattere"/>
    <w:basedOn w:val="Carpredefinitoparagrafo"/>
    <w:link w:val="Corpodeltesto2"/>
    <w:uiPriority w:val="99"/>
    <w:rsid w:val="009072DB"/>
    <w:rPr>
      <w:rFonts w:ascii="Tahoma" w:eastAsia="Times New Roman" w:hAnsi="Tahoma" w:cs="Tahoma"/>
      <w:lang w:eastAsia="en-US"/>
    </w:rPr>
  </w:style>
  <w:style w:type="paragraph" w:styleId="Rientrocorpodeltesto">
    <w:name w:val="Body Text Indent"/>
    <w:basedOn w:val="Normale"/>
    <w:link w:val="RientrocorpodeltestoCarattere"/>
    <w:uiPriority w:val="99"/>
    <w:rsid w:val="009072DB"/>
    <w:pPr>
      <w:ind w:left="709" w:hanging="709"/>
    </w:pPr>
    <w:rPr>
      <w:sz w:val="20"/>
      <w:szCs w:val="20"/>
      <w:lang w:eastAsia="en-US"/>
    </w:rPr>
  </w:style>
  <w:style w:type="character" w:customStyle="1" w:styleId="RientrocorpodeltestoCarattere">
    <w:name w:val="Rientro corpo del testo Carattere"/>
    <w:basedOn w:val="Carpredefinitoparagrafo"/>
    <w:link w:val="Rientrocorpodeltesto"/>
    <w:uiPriority w:val="99"/>
    <w:rsid w:val="009072DB"/>
    <w:rPr>
      <w:rFonts w:ascii="Times New Roman" w:eastAsia="Times New Roman" w:hAnsi="Times New Roman" w:cs="Times New Roman"/>
      <w:sz w:val="20"/>
      <w:szCs w:val="20"/>
      <w:lang w:eastAsia="en-US"/>
    </w:rPr>
  </w:style>
  <w:style w:type="paragraph" w:styleId="Testodelblocco">
    <w:name w:val="Block Text"/>
    <w:basedOn w:val="Normale"/>
    <w:uiPriority w:val="99"/>
    <w:rsid w:val="009072DB"/>
    <w:pPr>
      <w:tabs>
        <w:tab w:val="left" w:pos="567"/>
        <w:tab w:val="left" w:pos="1134"/>
        <w:tab w:val="left" w:pos="1702"/>
        <w:tab w:val="left" w:pos="2269"/>
        <w:tab w:val="left" w:pos="2835"/>
        <w:tab w:val="left" w:pos="3402"/>
        <w:tab w:val="left" w:pos="3969"/>
      </w:tabs>
      <w:ind w:left="284" w:right="-1"/>
      <w:jc w:val="both"/>
    </w:pPr>
    <w:rPr>
      <w:lang w:eastAsia="en-US"/>
    </w:rPr>
  </w:style>
  <w:style w:type="paragraph" w:styleId="Corpodeltesto3">
    <w:name w:val="Body Text 3"/>
    <w:basedOn w:val="Normale"/>
    <w:link w:val="Corpodeltesto3Carattere"/>
    <w:uiPriority w:val="99"/>
    <w:rsid w:val="009072DB"/>
    <w:pPr>
      <w:jc w:val="both"/>
    </w:pPr>
    <w:rPr>
      <w:i/>
      <w:iCs/>
      <w:lang w:eastAsia="en-US"/>
    </w:rPr>
  </w:style>
  <w:style w:type="character" w:customStyle="1" w:styleId="Corpodeltesto3Carattere">
    <w:name w:val="Corpo del testo 3 Carattere"/>
    <w:basedOn w:val="Carpredefinitoparagrafo"/>
    <w:link w:val="Corpodeltesto3"/>
    <w:uiPriority w:val="99"/>
    <w:rsid w:val="009072DB"/>
    <w:rPr>
      <w:rFonts w:ascii="Times New Roman" w:eastAsia="Times New Roman" w:hAnsi="Times New Roman" w:cs="Times New Roman"/>
      <w:i/>
      <w:iCs/>
      <w:lang w:eastAsia="en-US"/>
    </w:rPr>
  </w:style>
  <w:style w:type="paragraph" w:styleId="Rientrocorpodeltesto2">
    <w:name w:val="Body Text Indent 2"/>
    <w:basedOn w:val="Normale"/>
    <w:link w:val="Rientrocorpodeltesto2Carattere"/>
    <w:uiPriority w:val="99"/>
    <w:rsid w:val="009072DB"/>
    <w:pPr>
      <w:ind w:left="567"/>
      <w:jc w:val="both"/>
    </w:pPr>
    <w:rPr>
      <w:i/>
      <w:iCs/>
      <w:lang w:eastAsia="en-US"/>
    </w:rPr>
  </w:style>
  <w:style w:type="character" w:customStyle="1" w:styleId="Rientrocorpodeltesto2Carattere">
    <w:name w:val="Rientro corpo del testo 2 Carattere"/>
    <w:basedOn w:val="Carpredefinitoparagrafo"/>
    <w:link w:val="Rientrocorpodeltesto2"/>
    <w:uiPriority w:val="99"/>
    <w:rsid w:val="009072DB"/>
    <w:rPr>
      <w:rFonts w:ascii="Times New Roman" w:eastAsia="Times New Roman" w:hAnsi="Times New Roman" w:cs="Times New Roman"/>
      <w:i/>
      <w:iCs/>
      <w:lang w:eastAsia="en-US"/>
    </w:rPr>
  </w:style>
  <w:style w:type="paragraph" w:styleId="Rientrocorpodeltesto3">
    <w:name w:val="Body Text Indent 3"/>
    <w:basedOn w:val="Normale"/>
    <w:link w:val="Rientrocorpodeltesto3Carattere"/>
    <w:uiPriority w:val="99"/>
    <w:rsid w:val="009072DB"/>
    <w:pPr>
      <w:ind w:left="426"/>
      <w:jc w:val="both"/>
    </w:pPr>
    <w:rPr>
      <w:i/>
      <w:iCs/>
      <w:lang w:eastAsia="en-US"/>
    </w:rPr>
  </w:style>
  <w:style w:type="character" w:customStyle="1" w:styleId="Rientrocorpodeltesto3Carattere">
    <w:name w:val="Rientro corpo del testo 3 Carattere"/>
    <w:basedOn w:val="Carpredefinitoparagrafo"/>
    <w:link w:val="Rientrocorpodeltesto3"/>
    <w:uiPriority w:val="99"/>
    <w:rsid w:val="009072DB"/>
    <w:rPr>
      <w:rFonts w:ascii="Times New Roman" w:eastAsia="Times New Roman" w:hAnsi="Times New Roman" w:cs="Times New Roman"/>
      <w:i/>
      <w:iCs/>
      <w:lang w:eastAsia="en-US"/>
    </w:rPr>
  </w:style>
  <w:style w:type="paragraph" w:styleId="Testonotadichiusura">
    <w:name w:val="endnote text"/>
    <w:basedOn w:val="Normale"/>
    <w:link w:val="TestonotadichiusuraCarattere"/>
    <w:uiPriority w:val="99"/>
    <w:semiHidden/>
    <w:rsid w:val="009072DB"/>
    <w:rPr>
      <w:sz w:val="20"/>
      <w:szCs w:val="20"/>
      <w:lang w:eastAsia="en-US"/>
    </w:rPr>
  </w:style>
  <w:style w:type="character" w:customStyle="1" w:styleId="TestonotadichiusuraCarattere">
    <w:name w:val="Testo nota di chiusura Carattere"/>
    <w:basedOn w:val="Carpredefinitoparagrafo"/>
    <w:link w:val="Testonotadichiusura"/>
    <w:uiPriority w:val="99"/>
    <w:semiHidden/>
    <w:rsid w:val="009072DB"/>
    <w:rPr>
      <w:rFonts w:ascii="Times New Roman" w:eastAsia="Times New Roman" w:hAnsi="Times New Roman" w:cs="Times New Roman"/>
      <w:sz w:val="20"/>
      <w:szCs w:val="20"/>
      <w:lang w:eastAsia="en-US"/>
    </w:rPr>
  </w:style>
  <w:style w:type="character" w:styleId="Numeropagina">
    <w:name w:val="page number"/>
    <w:basedOn w:val="Carpredefinitoparagrafo"/>
    <w:uiPriority w:val="99"/>
    <w:rsid w:val="009072DB"/>
    <w:rPr>
      <w:rFonts w:cs="Times New Roman"/>
    </w:rPr>
  </w:style>
  <w:style w:type="paragraph" w:customStyle="1" w:styleId="xl30">
    <w:name w:val="xl30"/>
    <w:basedOn w:val="Normale"/>
    <w:uiPriority w:val="99"/>
    <w:rsid w:val="009072DB"/>
    <w:pPr>
      <w:spacing w:before="100" w:beforeAutospacing="1" w:after="100" w:afterAutospacing="1"/>
    </w:pPr>
    <w:rPr>
      <w:rFonts w:ascii="Arial" w:eastAsia="Arial Unicode MS" w:hAnsi="Arial" w:cs="Arial"/>
      <w:sz w:val="14"/>
      <w:szCs w:val="14"/>
      <w:lang w:val="en-GB" w:eastAsia="en-US"/>
    </w:rPr>
  </w:style>
  <w:style w:type="paragraph" w:customStyle="1" w:styleId="xl31">
    <w:name w:val="xl31"/>
    <w:basedOn w:val="Normale"/>
    <w:uiPriority w:val="99"/>
    <w:rsid w:val="009072DB"/>
    <w:pPr>
      <w:spacing w:before="100" w:beforeAutospacing="1" w:after="100" w:afterAutospacing="1"/>
    </w:pPr>
    <w:rPr>
      <w:rFonts w:ascii="Arial" w:eastAsia="Arial Unicode MS" w:hAnsi="Arial" w:cs="Arial"/>
      <w:b/>
      <w:bCs/>
      <w:sz w:val="14"/>
      <w:szCs w:val="14"/>
      <w:lang w:val="en-GB" w:eastAsia="en-US"/>
    </w:rPr>
  </w:style>
  <w:style w:type="paragraph" w:customStyle="1" w:styleId="xl32">
    <w:name w:val="xl32"/>
    <w:basedOn w:val="Normale"/>
    <w:uiPriority w:val="99"/>
    <w:rsid w:val="009072DB"/>
    <w:pPr>
      <w:spacing w:before="100" w:beforeAutospacing="1" w:after="100" w:afterAutospacing="1"/>
    </w:pPr>
    <w:rPr>
      <w:rFonts w:ascii="Arial" w:eastAsia="Arial Unicode MS" w:hAnsi="Arial" w:cs="Arial"/>
      <w:b/>
      <w:bCs/>
      <w:sz w:val="14"/>
      <w:szCs w:val="14"/>
      <w:lang w:val="en-GB" w:eastAsia="en-US"/>
    </w:rPr>
  </w:style>
  <w:style w:type="paragraph" w:customStyle="1" w:styleId="xl33">
    <w:name w:val="xl33"/>
    <w:basedOn w:val="Normale"/>
    <w:uiPriority w:val="99"/>
    <w:rsid w:val="009072DB"/>
    <w:pPr>
      <w:spacing w:before="100" w:beforeAutospacing="1" w:after="100" w:afterAutospacing="1"/>
      <w:jc w:val="center"/>
    </w:pPr>
    <w:rPr>
      <w:rFonts w:ascii="Arial" w:eastAsia="Arial Unicode MS" w:hAnsi="Arial" w:cs="Arial"/>
      <w:b/>
      <w:bCs/>
      <w:sz w:val="14"/>
      <w:szCs w:val="14"/>
      <w:lang w:val="en-GB" w:eastAsia="en-US"/>
    </w:rPr>
  </w:style>
  <w:style w:type="paragraph" w:customStyle="1" w:styleId="xl34">
    <w:name w:val="xl34"/>
    <w:basedOn w:val="Normale"/>
    <w:uiPriority w:val="99"/>
    <w:rsid w:val="009072DB"/>
    <w:pPr>
      <w:spacing w:before="100" w:beforeAutospacing="1" w:after="100" w:afterAutospacing="1"/>
    </w:pPr>
    <w:rPr>
      <w:rFonts w:ascii="Arial" w:eastAsia="Arial Unicode MS" w:hAnsi="Arial" w:cs="Arial"/>
      <w:b/>
      <w:bCs/>
      <w:sz w:val="14"/>
      <w:szCs w:val="14"/>
      <w:lang w:val="en-GB" w:eastAsia="en-US"/>
    </w:rPr>
  </w:style>
  <w:style w:type="paragraph" w:customStyle="1" w:styleId="xl35">
    <w:name w:val="xl35"/>
    <w:basedOn w:val="Normale"/>
    <w:uiPriority w:val="99"/>
    <w:rsid w:val="009072DB"/>
    <w:pPr>
      <w:spacing w:before="100" w:beforeAutospacing="1" w:after="100" w:afterAutospacing="1"/>
      <w:jc w:val="center"/>
    </w:pPr>
    <w:rPr>
      <w:rFonts w:ascii="Arial" w:eastAsia="Arial Unicode MS" w:hAnsi="Arial" w:cs="Arial"/>
      <w:b/>
      <w:bCs/>
      <w:sz w:val="14"/>
      <w:szCs w:val="14"/>
      <w:lang w:val="en-GB" w:eastAsia="en-US"/>
    </w:rPr>
  </w:style>
  <w:style w:type="paragraph" w:customStyle="1" w:styleId="xl36">
    <w:name w:val="xl36"/>
    <w:basedOn w:val="Normale"/>
    <w:uiPriority w:val="99"/>
    <w:rsid w:val="009072DB"/>
    <w:pPr>
      <w:pBdr>
        <w:bottom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37">
    <w:name w:val="xl37"/>
    <w:basedOn w:val="Normale"/>
    <w:uiPriority w:val="99"/>
    <w:rsid w:val="009072DB"/>
    <w:pPr>
      <w:pBdr>
        <w:bottom w:val="single" w:sz="4" w:space="0" w:color="auto"/>
      </w:pBdr>
      <w:spacing w:before="100" w:beforeAutospacing="1" w:after="100" w:afterAutospacing="1"/>
    </w:pPr>
    <w:rPr>
      <w:rFonts w:ascii="Arial" w:eastAsia="Arial Unicode MS" w:hAnsi="Arial" w:cs="Arial"/>
      <w:b/>
      <w:bCs/>
      <w:sz w:val="14"/>
      <w:szCs w:val="14"/>
      <w:lang w:val="en-GB" w:eastAsia="en-US"/>
    </w:rPr>
  </w:style>
  <w:style w:type="paragraph" w:customStyle="1" w:styleId="xl38">
    <w:name w:val="xl38"/>
    <w:basedOn w:val="Normale"/>
    <w:uiPriority w:val="99"/>
    <w:rsid w:val="009072DB"/>
    <w:pPr>
      <w:spacing w:before="100" w:beforeAutospacing="1" w:after="100" w:afterAutospacing="1"/>
    </w:pPr>
    <w:rPr>
      <w:rFonts w:ascii="Arial" w:eastAsia="Arial Unicode MS" w:hAnsi="Arial" w:cs="Arial"/>
      <w:sz w:val="14"/>
      <w:szCs w:val="14"/>
      <w:lang w:val="en-GB" w:eastAsia="en-US"/>
    </w:rPr>
  </w:style>
  <w:style w:type="paragraph" w:customStyle="1" w:styleId="xl39">
    <w:name w:val="xl39"/>
    <w:basedOn w:val="Normale"/>
    <w:uiPriority w:val="99"/>
    <w:rsid w:val="009072DB"/>
    <w:pPr>
      <w:pBdr>
        <w:bottom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0">
    <w:name w:val="xl40"/>
    <w:basedOn w:val="Normale"/>
    <w:uiPriority w:val="99"/>
    <w:rsid w:val="009072DB"/>
    <w:pPr>
      <w:pBdr>
        <w:bottom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1">
    <w:name w:val="xl41"/>
    <w:basedOn w:val="Normale"/>
    <w:uiPriority w:val="99"/>
    <w:rsid w:val="009072DB"/>
    <w:pPr>
      <w:pBdr>
        <w:top w:val="single" w:sz="4" w:space="0" w:color="auto"/>
      </w:pBdr>
      <w:spacing w:before="100" w:beforeAutospacing="1" w:after="100" w:afterAutospacing="1"/>
    </w:pPr>
    <w:rPr>
      <w:rFonts w:ascii="Arial" w:eastAsia="Arial Unicode MS" w:hAnsi="Arial" w:cs="Arial"/>
      <w:b/>
      <w:bCs/>
      <w:sz w:val="14"/>
      <w:szCs w:val="14"/>
      <w:lang w:val="en-GB" w:eastAsia="en-US"/>
    </w:rPr>
  </w:style>
  <w:style w:type="paragraph" w:customStyle="1" w:styleId="xl42">
    <w:name w:val="xl42"/>
    <w:basedOn w:val="Normale"/>
    <w:uiPriority w:val="99"/>
    <w:rsid w:val="009072DB"/>
    <w:pPr>
      <w:pBdr>
        <w:top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3">
    <w:name w:val="xl43"/>
    <w:basedOn w:val="Normale"/>
    <w:uiPriority w:val="99"/>
    <w:rsid w:val="009072DB"/>
    <w:pPr>
      <w:spacing w:before="100" w:beforeAutospacing="1" w:after="100" w:afterAutospacing="1"/>
      <w:jc w:val="right"/>
    </w:pPr>
    <w:rPr>
      <w:rFonts w:ascii="Arial" w:eastAsia="Arial Unicode MS" w:hAnsi="Arial" w:cs="Arial"/>
      <w:sz w:val="14"/>
      <w:szCs w:val="14"/>
      <w:lang w:val="en-GB" w:eastAsia="en-US"/>
    </w:rPr>
  </w:style>
  <w:style w:type="paragraph" w:customStyle="1" w:styleId="xl44">
    <w:name w:val="xl44"/>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b/>
      <w:bCs/>
      <w:sz w:val="14"/>
      <w:szCs w:val="14"/>
      <w:lang w:val="en-GB" w:eastAsia="en-US"/>
    </w:rPr>
  </w:style>
  <w:style w:type="paragraph" w:customStyle="1" w:styleId="xl45">
    <w:name w:val="xl45"/>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6">
    <w:name w:val="xl46"/>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7">
    <w:name w:val="xl47"/>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48">
    <w:name w:val="xl48"/>
    <w:basedOn w:val="Normale"/>
    <w:uiPriority w:val="99"/>
    <w:rsid w:val="009072DB"/>
    <w:pPr>
      <w:spacing w:before="100" w:beforeAutospacing="1" w:after="100" w:afterAutospacing="1"/>
    </w:pPr>
    <w:rPr>
      <w:rFonts w:ascii="Arial" w:eastAsia="Arial Unicode MS" w:hAnsi="Arial" w:cs="Arial"/>
      <w:sz w:val="14"/>
      <w:szCs w:val="14"/>
      <w:lang w:val="en-GB" w:eastAsia="en-US"/>
    </w:rPr>
  </w:style>
  <w:style w:type="paragraph" w:customStyle="1" w:styleId="xl49">
    <w:name w:val="xl49"/>
    <w:basedOn w:val="Normale"/>
    <w:uiPriority w:val="99"/>
    <w:rsid w:val="009072DB"/>
    <w:pPr>
      <w:spacing w:before="100" w:beforeAutospacing="1" w:after="100" w:afterAutospacing="1"/>
      <w:jc w:val="center"/>
    </w:pPr>
    <w:rPr>
      <w:rFonts w:ascii="Arial" w:eastAsia="Arial Unicode MS" w:hAnsi="Arial" w:cs="Arial"/>
      <w:b/>
      <w:bCs/>
      <w:sz w:val="14"/>
      <w:szCs w:val="14"/>
      <w:lang w:val="en-GB" w:eastAsia="en-US"/>
    </w:rPr>
  </w:style>
  <w:style w:type="paragraph" w:customStyle="1" w:styleId="xl50">
    <w:name w:val="xl50"/>
    <w:basedOn w:val="Normale"/>
    <w:uiPriority w:val="99"/>
    <w:rsid w:val="009072DB"/>
    <w:pPr>
      <w:spacing w:before="100" w:beforeAutospacing="1" w:after="100" w:afterAutospacing="1"/>
    </w:pPr>
    <w:rPr>
      <w:rFonts w:ascii="Arial" w:eastAsia="Arial Unicode MS" w:hAnsi="Arial" w:cs="Arial"/>
      <w:b/>
      <w:bCs/>
      <w:sz w:val="14"/>
      <w:szCs w:val="14"/>
      <w:lang w:val="en-GB" w:eastAsia="en-US"/>
    </w:rPr>
  </w:style>
  <w:style w:type="paragraph" w:customStyle="1" w:styleId="xl51">
    <w:name w:val="xl51"/>
    <w:basedOn w:val="Normale"/>
    <w:uiPriority w:val="99"/>
    <w:rsid w:val="009072DB"/>
    <w:pPr>
      <w:pBdr>
        <w:bottom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52">
    <w:name w:val="xl52"/>
    <w:basedOn w:val="Normale"/>
    <w:uiPriority w:val="99"/>
    <w:rsid w:val="009072DB"/>
    <w:pPr>
      <w:pBdr>
        <w:top w:val="single" w:sz="4"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53">
    <w:name w:val="xl53"/>
    <w:basedOn w:val="Normale"/>
    <w:uiPriority w:val="99"/>
    <w:rsid w:val="009072DB"/>
    <w:pPr>
      <w:pBdr>
        <w:top w:val="single" w:sz="4" w:space="0" w:color="auto"/>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54">
    <w:name w:val="xl54"/>
    <w:basedOn w:val="Normale"/>
    <w:uiPriority w:val="99"/>
    <w:rsid w:val="009072DB"/>
    <w:pPr>
      <w:spacing w:before="100" w:beforeAutospacing="1" w:after="100" w:afterAutospacing="1"/>
      <w:jc w:val="right"/>
    </w:pPr>
    <w:rPr>
      <w:rFonts w:ascii="Arial" w:eastAsia="Arial Unicode MS" w:hAnsi="Arial" w:cs="Arial"/>
      <w:sz w:val="14"/>
      <w:szCs w:val="14"/>
      <w:lang w:val="en-GB" w:eastAsia="en-US"/>
    </w:rPr>
  </w:style>
  <w:style w:type="paragraph" w:customStyle="1" w:styleId="xl55">
    <w:name w:val="xl55"/>
    <w:basedOn w:val="Normale"/>
    <w:uiPriority w:val="99"/>
    <w:rsid w:val="009072DB"/>
    <w:pPr>
      <w:pBdr>
        <w:bottom w:val="single" w:sz="8" w:space="0" w:color="auto"/>
      </w:pBdr>
      <w:spacing w:before="100" w:beforeAutospacing="1" w:after="100" w:afterAutospacing="1"/>
    </w:pPr>
    <w:rPr>
      <w:rFonts w:ascii="Arial" w:eastAsia="Arial Unicode MS" w:hAnsi="Arial" w:cs="Arial"/>
      <w:sz w:val="14"/>
      <w:szCs w:val="14"/>
      <w:lang w:val="en-GB" w:eastAsia="en-US"/>
    </w:rPr>
  </w:style>
  <w:style w:type="paragraph" w:customStyle="1" w:styleId="xl24">
    <w:name w:val="xl24"/>
    <w:basedOn w:val="Normale"/>
    <w:uiPriority w:val="99"/>
    <w:rsid w:val="009072DB"/>
    <w:pPr>
      <w:spacing w:before="100" w:beforeAutospacing="1" w:after="100" w:afterAutospacing="1"/>
      <w:jc w:val="center"/>
    </w:pPr>
    <w:rPr>
      <w:rFonts w:eastAsia="Arial Unicode MS"/>
      <w:b/>
      <w:bCs/>
      <w:sz w:val="14"/>
      <w:szCs w:val="14"/>
    </w:rPr>
  </w:style>
  <w:style w:type="paragraph" w:customStyle="1" w:styleId="xl25">
    <w:name w:val="xl25"/>
    <w:basedOn w:val="Normale"/>
    <w:uiPriority w:val="99"/>
    <w:rsid w:val="009072DB"/>
    <w:pPr>
      <w:spacing w:before="100" w:beforeAutospacing="1" w:after="100" w:afterAutospacing="1"/>
      <w:jc w:val="center"/>
      <w:textAlignment w:val="top"/>
    </w:pPr>
    <w:rPr>
      <w:rFonts w:eastAsia="Arial Unicode MS"/>
      <w:b/>
      <w:bCs/>
      <w:sz w:val="14"/>
      <w:szCs w:val="14"/>
    </w:rPr>
  </w:style>
  <w:style w:type="paragraph" w:customStyle="1" w:styleId="xl26">
    <w:name w:val="xl26"/>
    <w:basedOn w:val="Normale"/>
    <w:uiPriority w:val="99"/>
    <w:rsid w:val="009072DB"/>
    <w:pPr>
      <w:spacing w:before="100" w:beforeAutospacing="1" w:after="100" w:afterAutospacing="1"/>
      <w:jc w:val="center"/>
      <w:textAlignment w:val="top"/>
    </w:pPr>
    <w:rPr>
      <w:rFonts w:eastAsia="Arial Unicode MS"/>
      <w:b/>
      <w:bCs/>
      <w:sz w:val="14"/>
      <w:szCs w:val="14"/>
    </w:rPr>
  </w:style>
  <w:style w:type="paragraph" w:customStyle="1" w:styleId="xl27">
    <w:name w:val="xl27"/>
    <w:basedOn w:val="Normale"/>
    <w:uiPriority w:val="99"/>
    <w:rsid w:val="009072DB"/>
    <w:pPr>
      <w:pBdr>
        <w:bottom w:val="single" w:sz="4" w:space="0" w:color="auto"/>
      </w:pBdr>
      <w:spacing w:before="100" w:beforeAutospacing="1" w:after="100" w:afterAutospacing="1"/>
      <w:textAlignment w:val="center"/>
    </w:pPr>
    <w:rPr>
      <w:rFonts w:eastAsia="Arial Unicode MS"/>
      <w:b/>
      <w:bCs/>
      <w:sz w:val="14"/>
      <w:szCs w:val="14"/>
    </w:rPr>
  </w:style>
  <w:style w:type="paragraph" w:customStyle="1" w:styleId="xl28">
    <w:name w:val="xl28"/>
    <w:basedOn w:val="Normale"/>
    <w:uiPriority w:val="99"/>
    <w:rsid w:val="009072DB"/>
    <w:pPr>
      <w:pBdr>
        <w:bottom w:val="single" w:sz="4" w:space="0" w:color="auto"/>
      </w:pBdr>
      <w:spacing w:before="100" w:beforeAutospacing="1" w:after="100" w:afterAutospacing="1"/>
      <w:jc w:val="center"/>
      <w:textAlignment w:val="center"/>
    </w:pPr>
    <w:rPr>
      <w:rFonts w:eastAsia="Arial Unicode MS"/>
      <w:b/>
      <w:bCs/>
      <w:sz w:val="14"/>
      <w:szCs w:val="14"/>
    </w:rPr>
  </w:style>
  <w:style w:type="paragraph" w:customStyle="1" w:styleId="xl29">
    <w:name w:val="xl29"/>
    <w:basedOn w:val="Normale"/>
    <w:uiPriority w:val="99"/>
    <w:rsid w:val="009072DB"/>
    <w:pPr>
      <w:pBdr>
        <w:top w:val="single" w:sz="4" w:space="0" w:color="auto"/>
        <w:bottom w:val="single" w:sz="4" w:space="0" w:color="auto"/>
      </w:pBdr>
      <w:spacing w:before="100" w:beforeAutospacing="1" w:after="100" w:afterAutospacing="1"/>
    </w:pPr>
    <w:rPr>
      <w:rFonts w:eastAsia="Arial Unicode MS"/>
      <w:sz w:val="14"/>
      <w:szCs w:val="14"/>
    </w:rPr>
  </w:style>
  <w:style w:type="paragraph" w:styleId="Elenco">
    <w:name w:val="List"/>
    <w:basedOn w:val="Normale"/>
    <w:uiPriority w:val="99"/>
    <w:rsid w:val="009072DB"/>
    <w:pPr>
      <w:ind w:left="283" w:hanging="283"/>
    </w:pPr>
    <w:rPr>
      <w:lang w:eastAsia="en-US"/>
    </w:rPr>
  </w:style>
  <w:style w:type="paragraph" w:styleId="Elenco2">
    <w:name w:val="List 2"/>
    <w:basedOn w:val="Normale"/>
    <w:uiPriority w:val="99"/>
    <w:rsid w:val="009072DB"/>
    <w:pPr>
      <w:ind w:left="566" w:hanging="283"/>
    </w:pPr>
    <w:rPr>
      <w:lang w:eastAsia="en-US"/>
    </w:rPr>
  </w:style>
  <w:style w:type="paragraph" w:styleId="Elenco3">
    <w:name w:val="List 3"/>
    <w:basedOn w:val="Normale"/>
    <w:uiPriority w:val="99"/>
    <w:rsid w:val="009072DB"/>
    <w:pPr>
      <w:ind w:left="849" w:hanging="283"/>
    </w:pPr>
    <w:rPr>
      <w:lang w:eastAsia="en-US"/>
    </w:rPr>
  </w:style>
  <w:style w:type="paragraph" w:styleId="Elenco4">
    <w:name w:val="List 4"/>
    <w:basedOn w:val="Normale"/>
    <w:uiPriority w:val="99"/>
    <w:rsid w:val="009072DB"/>
    <w:pPr>
      <w:ind w:left="1132" w:hanging="283"/>
    </w:pPr>
    <w:rPr>
      <w:lang w:eastAsia="en-US"/>
    </w:rPr>
  </w:style>
  <w:style w:type="paragraph" w:styleId="Formuladiapertura">
    <w:name w:val="Salutation"/>
    <w:basedOn w:val="Normale"/>
    <w:next w:val="Normale"/>
    <w:link w:val="FormuladiaperturaCarattere"/>
    <w:uiPriority w:val="99"/>
    <w:rsid w:val="009072DB"/>
    <w:rPr>
      <w:lang w:eastAsia="en-US"/>
    </w:rPr>
  </w:style>
  <w:style w:type="character" w:customStyle="1" w:styleId="FormuladiaperturaCarattere">
    <w:name w:val="Formula di apertura Carattere"/>
    <w:basedOn w:val="Carpredefinitoparagrafo"/>
    <w:link w:val="Formuladiapertura"/>
    <w:uiPriority w:val="99"/>
    <w:rsid w:val="009072DB"/>
    <w:rPr>
      <w:rFonts w:ascii="Times New Roman" w:eastAsia="Times New Roman" w:hAnsi="Times New Roman" w:cs="Times New Roman"/>
      <w:lang w:eastAsia="en-US"/>
    </w:rPr>
  </w:style>
  <w:style w:type="paragraph" w:styleId="Formuladichiusura">
    <w:name w:val="Closing"/>
    <w:basedOn w:val="Normale"/>
    <w:link w:val="FormuladichiusuraCarattere"/>
    <w:uiPriority w:val="99"/>
    <w:rsid w:val="009072DB"/>
    <w:pPr>
      <w:ind w:left="4252"/>
    </w:pPr>
    <w:rPr>
      <w:lang w:eastAsia="en-US"/>
    </w:rPr>
  </w:style>
  <w:style w:type="character" w:customStyle="1" w:styleId="FormuladichiusuraCarattere">
    <w:name w:val="Formula di chiusura Carattere"/>
    <w:basedOn w:val="Carpredefinitoparagrafo"/>
    <w:link w:val="Formuladichiusura"/>
    <w:uiPriority w:val="99"/>
    <w:rsid w:val="009072DB"/>
    <w:rPr>
      <w:rFonts w:ascii="Times New Roman" w:eastAsia="Times New Roman" w:hAnsi="Times New Roman" w:cs="Times New Roman"/>
      <w:lang w:eastAsia="en-US"/>
    </w:rPr>
  </w:style>
  <w:style w:type="paragraph" w:styleId="Data">
    <w:name w:val="Date"/>
    <w:basedOn w:val="Normale"/>
    <w:next w:val="Normale"/>
    <w:link w:val="DataCarattere"/>
    <w:uiPriority w:val="99"/>
    <w:rsid w:val="009072DB"/>
    <w:rPr>
      <w:lang w:eastAsia="en-US"/>
    </w:rPr>
  </w:style>
  <w:style w:type="character" w:customStyle="1" w:styleId="DataCarattere">
    <w:name w:val="Data Carattere"/>
    <w:basedOn w:val="Carpredefinitoparagrafo"/>
    <w:link w:val="Data"/>
    <w:uiPriority w:val="99"/>
    <w:rsid w:val="009072DB"/>
    <w:rPr>
      <w:rFonts w:ascii="Times New Roman" w:eastAsia="Times New Roman" w:hAnsi="Times New Roman" w:cs="Times New Roman"/>
      <w:lang w:eastAsia="en-US"/>
    </w:rPr>
  </w:style>
  <w:style w:type="paragraph" w:styleId="Puntoelenco">
    <w:name w:val="List Bullet"/>
    <w:basedOn w:val="Normale"/>
    <w:uiPriority w:val="99"/>
    <w:rsid w:val="009072DB"/>
    <w:pPr>
      <w:tabs>
        <w:tab w:val="num" w:pos="720"/>
      </w:tabs>
      <w:ind w:left="360" w:hanging="360"/>
    </w:pPr>
    <w:rPr>
      <w:lang w:eastAsia="en-US"/>
    </w:rPr>
  </w:style>
  <w:style w:type="paragraph" w:styleId="Puntoelenco2">
    <w:name w:val="List Bullet 2"/>
    <w:basedOn w:val="Normale"/>
    <w:uiPriority w:val="99"/>
    <w:rsid w:val="009072DB"/>
    <w:pPr>
      <w:tabs>
        <w:tab w:val="num" w:pos="643"/>
        <w:tab w:val="num" w:pos="1440"/>
      </w:tabs>
      <w:ind w:left="643" w:hanging="360"/>
    </w:pPr>
    <w:rPr>
      <w:lang w:eastAsia="en-US"/>
    </w:rPr>
  </w:style>
  <w:style w:type="paragraph" w:styleId="Puntoelenco3">
    <w:name w:val="List Bullet 3"/>
    <w:basedOn w:val="Normale"/>
    <w:uiPriority w:val="99"/>
    <w:rsid w:val="009072DB"/>
    <w:pPr>
      <w:tabs>
        <w:tab w:val="num" w:pos="502"/>
        <w:tab w:val="num" w:pos="720"/>
        <w:tab w:val="num" w:pos="926"/>
      </w:tabs>
      <w:ind w:left="926" w:hanging="360"/>
    </w:pPr>
    <w:rPr>
      <w:lang w:eastAsia="en-US"/>
    </w:rPr>
  </w:style>
  <w:style w:type="paragraph" w:styleId="Elencocontinua">
    <w:name w:val="List Continue"/>
    <w:basedOn w:val="Normale"/>
    <w:uiPriority w:val="99"/>
    <w:rsid w:val="009072DB"/>
    <w:pPr>
      <w:spacing w:after="120"/>
      <w:ind w:left="283"/>
    </w:pPr>
    <w:rPr>
      <w:lang w:eastAsia="en-US"/>
    </w:rPr>
  </w:style>
  <w:style w:type="paragraph" w:styleId="Elencocontinua2">
    <w:name w:val="List Continue 2"/>
    <w:basedOn w:val="Normale"/>
    <w:uiPriority w:val="99"/>
    <w:rsid w:val="009072DB"/>
    <w:pPr>
      <w:spacing w:after="120"/>
      <w:ind w:left="566"/>
    </w:pPr>
    <w:rPr>
      <w:lang w:eastAsia="en-US"/>
    </w:rPr>
  </w:style>
  <w:style w:type="paragraph" w:styleId="Elencocontinua3">
    <w:name w:val="List Continue 3"/>
    <w:basedOn w:val="Normale"/>
    <w:uiPriority w:val="99"/>
    <w:rsid w:val="009072DB"/>
    <w:pPr>
      <w:spacing w:after="120"/>
      <w:ind w:left="849"/>
    </w:pPr>
    <w:rPr>
      <w:lang w:eastAsia="en-US"/>
    </w:rPr>
  </w:style>
  <w:style w:type="paragraph" w:styleId="Elencocontinua4">
    <w:name w:val="List Continue 4"/>
    <w:basedOn w:val="Normale"/>
    <w:uiPriority w:val="99"/>
    <w:rsid w:val="009072DB"/>
    <w:pPr>
      <w:spacing w:after="120"/>
      <w:ind w:left="1132"/>
    </w:pPr>
    <w:rPr>
      <w:lang w:eastAsia="en-US"/>
    </w:rPr>
  </w:style>
  <w:style w:type="paragraph" w:styleId="Primorientrocorpodeltesto">
    <w:name w:val="Body Text First Indent"/>
    <w:basedOn w:val="Corpotesto"/>
    <w:link w:val="PrimorientrocorpodeltestoCarattere"/>
    <w:uiPriority w:val="99"/>
    <w:rsid w:val="009072DB"/>
    <w:pPr>
      <w:tabs>
        <w:tab w:val="clear" w:pos="567"/>
        <w:tab w:val="clear" w:pos="1134"/>
        <w:tab w:val="clear" w:pos="1702"/>
        <w:tab w:val="clear" w:pos="2269"/>
        <w:tab w:val="clear" w:pos="2835"/>
        <w:tab w:val="clear" w:pos="3402"/>
        <w:tab w:val="clear" w:pos="3969"/>
      </w:tabs>
      <w:spacing w:after="120"/>
      <w:ind w:right="0" w:firstLine="210"/>
      <w:jc w:val="left"/>
    </w:pPr>
  </w:style>
  <w:style w:type="character" w:customStyle="1" w:styleId="PrimorientrocorpodeltestoCarattere">
    <w:name w:val="Primo rientro corpo del testo Carattere"/>
    <w:basedOn w:val="CorpotestoCarattere"/>
    <w:link w:val="Primorientrocorpodeltesto"/>
    <w:uiPriority w:val="99"/>
    <w:rsid w:val="009072DB"/>
    <w:rPr>
      <w:rFonts w:ascii="Times New Roman" w:eastAsia="Times New Roman" w:hAnsi="Times New Roman" w:cs="Times New Roman"/>
      <w:lang w:eastAsia="en-US"/>
    </w:rPr>
  </w:style>
  <w:style w:type="paragraph" w:styleId="Primorientrocorpodeltesto2">
    <w:name w:val="Body Text First Indent 2"/>
    <w:basedOn w:val="Rientrocorpodeltesto"/>
    <w:link w:val="Primorientrocorpodeltesto2Carattere"/>
    <w:uiPriority w:val="99"/>
    <w:rsid w:val="009072DB"/>
    <w:pPr>
      <w:spacing w:after="120"/>
      <w:ind w:left="283" w:firstLine="210"/>
    </w:pPr>
    <w:rPr>
      <w:sz w:val="24"/>
      <w:szCs w:val="24"/>
    </w:rPr>
  </w:style>
  <w:style w:type="character" w:customStyle="1" w:styleId="Primorientrocorpodeltesto2Carattere">
    <w:name w:val="Primo rientro corpo del testo 2 Carattere"/>
    <w:basedOn w:val="RientrocorpodeltestoCarattere"/>
    <w:link w:val="Primorientrocorpodeltesto2"/>
    <w:uiPriority w:val="99"/>
    <w:rsid w:val="009072DB"/>
    <w:rPr>
      <w:rFonts w:ascii="Times New Roman" w:eastAsia="Times New Roman" w:hAnsi="Times New Roman" w:cs="Times New Roman"/>
      <w:sz w:val="20"/>
      <w:szCs w:val="20"/>
      <w:lang w:eastAsia="en-US"/>
    </w:rPr>
  </w:style>
  <w:style w:type="character" w:styleId="Rimandonotaapidipagina">
    <w:name w:val="footnote reference"/>
    <w:basedOn w:val="Carpredefinitoparagrafo"/>
    <w:uiPriority w:val="99"/>
    <w:rsid w:val="009072DB"/>
    <w:rPr>
      <w:rFonts w:cs="Times New Roman"/>
      <w:vertAlign w:val="superscript"/>
    </w:rPr>
  </w:style>
  <w:style w:type="paragraph" w:styleId="NormaleWeb">
    <w:name w:val="Normal (Web)"/>
    <w:basedOn w:val="Normale"/>
    <w:uiPriority w:val="99"/>
    <w:rsid w:val="009072DB"/>
    <w:pPr>
      <w:spacing w:before="100" w:beforeAutospacing="1" w:after="100" w:afterAutospacing="1"/>
    </w:pPr>
  </w:style>
  <w:style w:type="paragraph" w:styleId="Testocommento">
    <w:name w:val="annotation text"/>
    <w:basedOn w:val="Normale"/>
    <w:link w:val="TestocommentoCarattere"/>
    <w:uiPriority w:val="99"/>
    <w:semiHidden/>
    <w:rsid w:val="009072DB"/>
    <w:rPr>
      <w:sz w:val="20"/>
      <w:szCs w:val="20"/>
    </w:rPr>
  </w:style>
  <w:style w:type="character" w:customStyle="1" w:styleId="TestocommentoCarattere">
    <w:name w:val="Testo commento Carattere"/>
    <w:basedOn w:val="Carpredefinitoparagrafo"/>
    <w:link w:val="Testocommento"/>
    <w:uiPriority w:val="99"/>
    <w:semiHidden/>
    <w:rsid w:val="009072DB"/>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rsid w:val="009072DB"/>
    <w:rPr>
      <w:b/>
      <w:bCs/>
    </w:rPr>
  </w:style>
  <w:style w:type="character" w:customStyle="1" w:styleId="SoggettocommentoCarattere">
    <w:name w:val="Soggetto commento Carattere"/>
    <w:basedOn w:val="TestocommentoCarattere"/>
    <w:link w:val="Soggettocommento"/>
    <w:uiPriority w:val="99"/>
    <w:semiHidden/>
    <w:rsid w:val="009072DB"/>
    <w:rPr>
      <w:rFonts w:ascii="Times New Roman" w:eastAsia="Times New Roman" w:hAnsi="Times New Roman" w:cs="Times New Roman"/>
      <w:b/>
      <w:bCs/>
      <w:sz w:val="20"/>
      <w:szCs w:val="20"/>
    </w:rPr>
  </w:style>
  <w:style w:type="paragraph" w:customStyle="1" w:styleId="Testo">
    <w:name w:val="Testo"/>
    <w:basedOn w:val="Normale"/>
    <w:uiPriority w:val="99"/>
    <w:rsid w:val="009072DB"/>
    <w:pPr>
      <w:suppressAutoHyphens/>
      <w:spacing w:after="180"/>
      <w:jc w:val="both"/>
    </w:pPr>
    <w:rPr>
      <w:rFonts w:ascii="Times" w:hAnsi="Times"/>
      <w:szCs w:val="20"/>
    </w:rPr>
  </w:style>
  <w:style w:type="paragraph" w:customStyle="1" w:styleId="22ndbullet">
    <w:name w:val="2 2nd bullet"/>
    <w:basedOn w:val="Normale"/>
    <w:uiPriority w:val="99"/>
    <w:rsid w:val="009072DB"/>
    <w:pPr>
      <w:numPr>
        <w:numId w:val="2"/>
      </w:numPr>
    </w:pPr>
  </w:style>
  <w:style w:type="paragraph" w:customStyle="1" w:styleId="Titolo10">
    <w:name w:val="Titolo 1 +"/>
    <w:basedOn w:val="Normale"/>
    <w:link w:val="Titolo1Carattere0"/>
    <w:uiPriority w:val="99"/>
    <w:rsid w:val="009072DB"/>
    <w:pPr>
      <w:spacing w:line="360" w:lineRule="auto"/>
      <w:jc w:val="both"/>
    </w:pPr>
    <w:rPr>
      <w:b/>
      <w:bCs/>
      <w:szCs w:val="20"/>
      <w:u w:val="single"/>
    </w:rPr>
  </w:style>
  <w:style w:type="character" w:customStyle="1" w:styleId="Titolo1Carattere0">
    <w:name w:val="Titolo 1 + Carattere"/>
    <w:basedOn w:val="Carpredefinitoparagrafo"/>
    <w:link w:val="Titolo10"/>
    <w:uiPriority w:val="99"/>
    <w:locked/>
    <w:rsid w:val="009072DB"/>
    <w:rPr>
      <w:rFonts w:ascii="Times New Roman" w:eastAsia="Times New Roman" w:hAnsi="Times New Roman" w:cs="Times New Roman"/>
      <w:b/>
      <w:bCs/>
      <w:szCs w:val="20"/>
      <w:u w:val="single"/>
    </w:rPr>
  </w:style>
  <w:style w:type="paragraph" w:customStyle="1" w:styleId="Normaleg">
    <w:name w:val="Normaleg"/>
    <w:basedOn w:val="Normale"/>
    <w:uiPriority w:val="99"/>
    <w:rsid w:val="009072DB"/>
    <w:pPr>
      <w:widowControl w:val="0"/>
      <w:tabs>
        <w:tab w:val="left" w:pos="284"/>
        <w:tab w:val="left" w:pos="567"/>
        <w:tab w:val="left" w:pos="851"/>
        <w:tab w:val="left" w:pos="1134"/>
      </w:tabs>
      <w:jc w:val="both"/>
    </w:pPr>
    <w:rPr>
      <w:rFonts w:ascii="CG Times (WN)" w:hAnsi="CG Times (WN)"/>
      <w:szCs w:val="20"/>
    </w:rPr>
  </w:style>
  <w:style w:type="paragraph" w:styleId="Sommario1">
    <w:name w:val="toc 1"/>
    <w:basedOn w:val="Normale"/>
    <w:next w:val="Normale"/>
    <w:autoRedefine/>
    <w:uiPriority w:val="39"/>
    <w:rsid w:val="009072DB"/>
    <w:pPr>
      <w:tabs>
        <w:tab w:val="right" w:leader="dot" w:pos="9629"/>
      </w:tabs>
      <w:spacing w:before="120"/>
    </w:pPr>
    <w:rPr>
      <w:b/>
      <w:noProof/>
      <w:sz w:val="28"/>
      <w:szCs w:val="28"/>
    </w:rPr>
  </w:style>
  <w:style w:type="paragraph" w:styleId="Sommario2">
    <w:name w:val="toc 2"/>
    <w:basedOn w:val="Normale"/>
    <w:next w:val="Normale"/>
    <w:autoRedefine/>
    <w:uiPriority w:val="39"/>
    <w:rsid w:val="009072DB"/>
    <w:pPr>
      <w:tabs>
        <w:tab w:val="right" w:leader="dot" w:pos="9629"/>
      </w:tabs>
      <w:ind w:left="142"/>
    </w:pPr>
    <w:rPr>
      <w:bCs/>
      <w:caps/>
      <w:noProof/>
      <w:sz w:val="20"/>
      <w:szCs w:val="20"/>
    </w:rPr>
  </w:style>
  <w:style w:type="paragraph" w:styleId="Sommario3">
    <w:name w:val="toc 3"/>
    <w:basedOn w:val="Normale"/>
    <w:next w:val="Normale"/>
    <w:autoRedefine/>
    <w:uiPriority w:val="99"/>
    <w:rsid w:val="009072DB"/>
    <w:pPr>
      <w:tabs>
        <w:tab w:val="right" w:leader="dot" w:pos="9629"/>
      </w:tabs>
      <w:ind w:left="567"/>
    </w:pPr>
  </w:style>
  <w:style w:type="character" w:styleId="Collegamentoipertestuale">
    <w:name w:val="Hyperlink"/>
    <w:basedOn w:val="Carpredefinitoparagrafo"/>
    <w:uiPriority w:val="99"/>
    <w:rsid w:val="009072DB"/>
    <w:rPr>
      <w:rFonts w:cs="Times New Roman"/>
      <w:color w:val="0000FF"/>
      <w:u w:val="single"/>
    </w:rPr>
  </w:style>
  <w:style w:type="paragraph" w:styleId="Paragrafoelenco">
    <w:name w:val="List Paragraph"/>
    <w:basedOn w:val="Normale"/>
    <w:uiPriority w:val="34"/>
    <w:qFormat/>
    <w:rsid w:val="009072DB"/>
    <w:pPr>
      <w:ind w:left="708"/>
    </w:pPr>
  </w:style>
  <w:style w:type="character" w:styleId="Enfasicorsivo">
    <w:name w:val="Emphasis"/>
    <w:basedOn w:val="Carpredefinitoparagrafo"/>
    <w:uiPriority w:val="99"/>
    <w:qFormat/>
    <w:rsid w:val="009072DB"/>
    <w:rPr>
      <w:rFonts w:cs="Times New Roman"/>
      <w:i/>
      <w:iCs/>
    </w:rPr>
  </w:style>
  <w:style w:type="character" w:styleId="Enfasigrassetto">
    <w:name w:val="Strong"/>
    <w:basedOn w:val="Carpredefinitoparagrafo"/>
    <w:uiPriority w:val="99"/>
    <w:qFormat/>
    <w:rsid w:val="009072DB"/>
    <w:rPr>
      <w:rFonts w:cs="Times New Roman"/>
      <w:b/>
      <w:bCs/>
    </w:rPr>
  </w:style>
  <w:style w:type="paragraph" w:styleId="Mappadocumento">
    <w:name w:val="Document Map"/>
    <w:basedOn w:val="Normale"/>
    <w:link w:val="MappadocumentoCarattere"/>
    <w:uiPriority w:val="99"/>
    <w:semiHidden/>
    <w:rsid w:val="009072DB"/>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9072DB"/>
    <w:rPr>
      <w:rFonts w:ascii="Tahoma" w:eastAsia="Times New Roman" w:hAnsi="Tahoma" w:cs="Tahoma"/>
      <w:sz w:val="16"/>
      <w:szCs w:val="16"/>
    </w:rPr>
  </w:style>
  <w:style w:type="paragraph" w:customStyle="1" w:styleId="Default">
    <w:name w:val="Default"/>
    <w:rsid w:val="009072DB"/>
    <w:pPr>
      <w:autoSpaceDE w:val="0"/>
      <w:autoSpaceDN w:val="0"/>
      <w:adjustRightInd w:val="0"/>
    </w:pPr>
    <w:rPr>
      <w:rFonts w:ascii="Arial Unicode MS" w:eastAsia="Arial Unicode MS" w:hAnsi="Times New Roman" w:cs="Arial Unicode MS"/>
      <w:color w:val="000000"/>
    </w:rPr>
  </w:style>
  <w:style w:type="character" w:customStyle="1" w:styleId="CarattereCarattere1">
    <w:name w:val="Carattere Carattere1"/>
    <w:basedOn w:val="Carpredefinitoparagrafo"/>
    <w:rsid w:val="009072DB"/>
    <w:rPr>
      <w:rFonts w:cs="Times New Roman"/>
      <w:sz w:val="24"/>
      <w:szCs w:val="24"/>
      <w:lang w:val="it-IT" w:eastAsia="it-IT" w:bidi="ar-SA"/>
    </w:rPr>
  </w:style>
  <w:style w:type="paragraph" w:styleId="Nessunaspaziatura">
    <w:name w:val="No Spacing"/>
    <w:link w:val="NessunaspaziaturaCarattere"/>
    <w:uiPriority w:val="1"/>
    <w:qFormat/>
    <w:rsid w:val="009072DB"/>
    <w:rPr>
      <w:rFonts w:ascii="Times New Roman" w:eastAsia="Calibri" w:hAnsi="Times New Roman" w:cs="Times New Roman"/>
    </w:rPr>
  </w:style>
  <w:style w:type="character" w:customStyle="1" w:styleId="NessunaspaziaturaCarattere">
    <w:name w:val="Nessuna spaziatura Carattere"/>
    <w:basedOn w:val="Carpredefinitoparagrafo"/>
    <w:link w:val="Nessunaspaziatura"/>
    <w:uiPriority w:val="1"/>
    <w:rsid w:val="009072DB"/>
    <w:rPr>
      <w:rFonts w:ascii="Times New Roman" w:eastAsia="Calibri" w:hAnsi="Times New Roman" w:cs="Times New Roman"/>
    </w:rPr>
  </w:style>
  <w:style w:type="character" w:customStyle="1" w:styleId="TestonotadichiusuraCarattere1">
    <w:name w:val="Testo nota di chiusura Carattere1"/>
    <w:basedOn w:val="Carpredefinitoparagrafo"/>
    <w:uiPriority w:val="99"/>
    <w:semiHidden/>
    <w:rsid w:val="009072DB"/>
    <w:rPr>
      <w:rFonts w:ascii="Times New Roman" w:eastAsia="Times New Roman" w:hAnsi="Times New Roman" w:cs="Times New Roman"/>
    </w:rPr>
  </w:style>
  <w:style w:type="character" w:customStyle="1" w:styleId="SoggettocommentoCarattere1">
    <w:name w:val="Soggetto commento Carattere1"/>
    <w:basedOn w:val="TestocommentoCarattere"/>
    <w:uiPriority w:val="99"/>
    <w:semiHidden/>
    <w:rsid w:val="009072DB"/>
    <w:rPr>
      <w:rFonts w:ascii="Times New Roman" w:eastAsia="Times New Roman" w:hAnsi="Times New Roman" w:cs="Times New Roman"/>
      <w:b/>
      <w:bCs/>
      <w:sz w:val="20"/>
      <w:szCs w:val="20"/>
    </w:rPr>
  </w:style>
  <w:style w:type="character" w:customStyle="1" w:styleId="MappadocumentoCarattere1">
    <w:name w:val="Mappa documento Carattere1"/>
    <w:basedOn w:val="Carpredefinitoparagrafo"/>
    <w:uiPriority w:val="99"/>
    <w:semiHidden/>
    <w:rsid w:val="009072DB"/>
    <w:rPr>
      <w:rFonts w:ascii="Lucida Grande" w:eastAsia="Times New Roman" w:hAnsi="Lucida Grande" w:cs="Lucida Grande"/>
    </w:rPr>
  </w:style>
  <w:style w:type="paragraph" w:customStyle="1" w:styleId="Paragrafoelenco1">
    <w:name w:val="Paragrafo elenco1"/>
    <w:basedOn w:val="Normale"/>
    <w:rsid w:val="009072DB"/>
    <w:pPr>
      <w:ind w:left="720"/>
      <w:contextualSpacing/>
    </w:pPr>
    <w:rPr>
      <w:rFonts w:ascii="Helvetica" w:eastAsia="Calibri" w:hAnsi="Helvetica"/>
      <w:szCs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18802</Words>
  <Characters>107176</Characters>
  <Application>Microsoft Office Word</Application>
  <DocSecurity>0</DocSecurity>
  <Lines>893</Lines>
  <Paragraphs>251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girelli</dc:creator>
  <cp:lastModifiedBy>Margherita Sacerdoti</cp:lastModifiedBy>
  <cp:revision>2</cp:revision>
  <cp:lastPrinted>2013-11-12T00:18:00Z</cp:lastPrinted>
  <dcterms:created xsi:type="dcterms:W3CDTF">2014-01-13T14:42:00Z</dcterms:created>
  <dcterms:modified xsi:type="dcterms:W3CDTF">2014-01-13T14:42:00Z</dcterms:modified>
</cp:coreProperties>
</file>